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E0" w:rsidRP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 w:rsidRPr="0055640C">
        <w:rPr>
          <w:rFonts w:ascii="Times New Roman" w:hAnsi="Times New Roman" w:cs="Times New Roman"/>
          <w:b/>
          <w:sz w:val="24"/>
        </w:rPr>
        <w:t>Региональный проект "Цифровая образовательная среда"</w:t>
      </w:r>
    </w:p>
    <w:p w:rsid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 w:rsidRPr="0055640C">
        <w:rPr>
          <w:rFonts w:ascii="Times New Roman" w:hAnsi="Times New Roman" w:cs="Times New Roman"/>
          <w:b/>
          <w:sz w:val="24"/>
        </w:rPr>
        <w:t>Ожидаемые результаты 2019-2024 гг.</w:t>
      </w:r>
    </w:p>
    <w:p w:rsid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331EB856" wp14:editId="00301DC3">
            <wp:extent cx="6152515" cy="5439410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99C692B" wp14:editId="08261DE4">
            <wp:extent cx="6152515" cy="4891405"/>
            <wp:effectExtent l="0" t="0" r="19685" b="234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59EF05C3" wp14:editId="74BAE5E2">
            <wp:extent cx="6152515" cy="4147185"/>
            <wp:effectExtent l="0" t="0" r="19685" b="247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61450F5" wp14:editId="4F3D2130">
            <wp:extent cx="6152515" cy="4090035"/>
            <wp:effectExtent l="0" t="0" r="1968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8B891DC" wp14:editId="036A8F88">
            <wp:extent cx="6152515" cy="4237990"/>
            <wp:effectExtent l="0" t="0" r="19685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BDDC3B" wp14:editId="515CC6F4">
            <wp:extent cx="6152515" cy="4161155"/>
            <wp:effectExtent l="38100" t="0" r="19685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1FD990A0" wp14:editId="7C495777">
            <wp:extent cx="5848350" cy="4138613"/>
            <wp:effectExtent l="0" t="0" r="19050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640C" w:rsidRPr="0055640C" w:rsidRDefault="0055640C" w:rsidP="0055640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89F4F37" wp14:editId="7F7B3198">
            <wp:extent cx="6152515" cy="4021455"/>
            <wp:effectExtent l="0" t="0" r="19685" b="1714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55640C" w:rsidRPr="0055640C" w:rsidSect="005564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0C"/>
    <w:rsid w:val="0055640C"/>
    <w:rsid w:val="008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solidFill>
                  <a:srgbClr val="0070C0"/>
                </a:solidFill>
              </a:defRPr>
            </a:pPr>
            <a:r>
              <a:rPr lang="ru-RU" sz="120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Доля образовательных организаций</a:t>
            </a:r>
            <a:r>
              <a:rPr lang="ru-RU" sz="1200" baseline="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Брянской области,  обеспеченных Интернет-соединением со скоростью не менее 100Мб/</a:t>
            </a:r>
            <a:r>
              <a:rPr lang="en-US" sz="120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c – </a:t>
            </a:r>
            <a:r>
              <a:rPr lang="ru-RU" sz="120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для городских образовательных организаций, 50Мб/</a:t>
            </a:r>
            <a:r>
              <a:rPr lang="en-US" sz="120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c –</a:t>
            </a:r>
            <a:r>
              <a:rPr lang="ru-RU" sz="120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для</a:t>
            </a:r>
            <a:r>
              <a:rPr lang="en-US" sz="120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сельской</a:t>
            </a:r>
            <a:r>
              <a:rPr lang="ru-RU" sz="1200" baseline="0">
                <a:solidFill>
                  <a:srgbClr val="0070C0"/>
                </a:solidFill>
                <a:latin typeface="Times New Roman" pitchFamily="18" charset="0"/>
                <a:cs typeface="Times New Roman" pitchFamily="18" charset="0"/>
              </a:rPr>
              <a:t> местности и поселков городского типа, а также Интернет-трафиком</a:t>
            </a:r>
          </a:p>
        </c:rich>
      </c:tx>
      <c:layout>
        <c:manualLayout>
          <c:xMode val="edge"/>
          <c:yMode val="edge"/>
          <c:x val="0.10528749996675628"/>
          <c:y val="0"/>
        </c:manualLayout>
      </c:layout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101097397529227E-2"/>
          <c:y val="0.16975148614459487"/>
          <c:w val="0.71621864467675511"/>
          <c:h val="0.79442320516816234"/>
        </c:manualLayout>
      </c:layout>
      <c:bar3DChart>
        <c:barDir val="col"/>
        <c:grouping val="standard"/>
        <c:varyColors val="0"/>
        <c:ser>
          <c:idx val="0"/>
          <c:order val="0"/>
          <c:tx>
            <c:v>2019 год</c:v>
          </c:tx>
          <c:invertIfNegative val="0"/>
          <c:dLbls>
            <c:dLbl>
              <c:idx val="0"/>
              <c:layout>
                <c:manualLayout>
                  <c:x val="-1.0116336274027457E-2"/>
                  <c:y val="-2.9962537177031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v>2020 год</c:v>
          </c:tx>
          <c:invertIfNegative val="0"/>
          <c:dLbls>
            <c:dLbl>
              <c:idx val="0"/>
              <c:layout>
                <c:manualLayout>
                  <c:x val="-2.0232672548054988E-3"/>
                  <c:y val="-2.45148031448438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Лист1!$B$7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2"/>
          <c:order val="2"/>
          <c:tx>
            <c:v>2021 год</c:v>
          </c:tx>
          <c:invertIfNegative val="0"/>
          <c:dLbls>
            <c:dLbl>
              <c:idx val="0"/>
              <c:layout>
                <c:manualLayout>
                  <c:x val="-4.0465345096109976E-3"/>
                  <c:y val="-1.6343202096562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Лист1!$B$8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3"/>
          <c:order val="3"/>
          <c:tx>
            <c:v>2022 год</c:v>
          </c:tx>
          <c:invertIfNegative val="0"/>
          <c:dLbls>
            <c:dLbl>
              <c:idx val="0"/>
              <c:layout>
                <c:manualLayout>
                  <c:x val="-1.0116336274027493E-2"/>
                  <c:y val="-1.9067069112656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Лист1!$B$9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4"/>
          <c:order val="4"/>
          <c:tx>
            <c:v>2023 год</c:v>
          </c:tx>
          <c:invertIfNegative val="0"/>
          <c:dLbls>
            <c:dLbl>
              <c:idx val="0"/>
              <c:layout>
                <c:manualLayout>
                  <c:x val="-1.0116336274027419E-2"/>
                  <c:y val="-8.17160104828129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Лист1!$B$10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5"/>
          <c:order val="5"/>
          <c:tx>
            <c:v>2024 год</c:v>
          </c:tx>
          <c:invertIfNegative val="0"/>
          <c:dLbls>
            <c:dLbl>
              <c:idx val="0"/>
              <c:layout>
                <c:manualLayout>
                  <c:x val="1.4162870783638565E-2"/>
                  <c:y val="-1.0895468064375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Лист1!$B$11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7223808"/>
        <c:axId val="120615296"/>
        <c:axId val="56941184"/>
      </c:bar3DChart>
      <c:catAx>
        <c:axId val="57223808"/>
        <c:scaling>
          <c:orientation val="minMax"/>
        </c:scaling>
        <c:delete val="1"/>
        <c:axPos val="b"/>
        <c:majorTickMark val="out"/>
        <c:minorTickMark val="none"/>
        <c:tickLblPos val="nextTo"/>
        <c:crossAx val="120615296"/>
        <c:crosses val="autoZero"/>
        <c:auto val="1"/>
        <c:lblAlgn val="ctr"/>
        <c:lblOffset val="100"/>
        <c:noMultiLvlLbl val="0"/>
      </c:catAx>
      <c:valAx>
        <c:axId val="12061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223808"/>
        <c:crosses val="autoZero"/>
        <c:crossBetween val="between"/>
      </c:valAx>
      <c:serAx>
        <c:axId val="56941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615296"/>
        <c:crosses val="autoZero"/>
      </c:serAx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>
                <a:solidFill>
                  <a:srgbClr val="00B0F0"/>
                </a:solidFill>
              </a:defRPr>
            </a:pPr>
            <a:r>
              <a:rPr lang="ru-RU" sz="1200">
                <a:solidFill>
                  <a:srgbClr val="00B0F0"/>
                </a:solidFill>
                <a:latin typeface="Times New Roman" pitchFamily="18" charset="0"/>
                <a:cs typeface="Times New Roman" pitchFamily="18" charset="0"/>
              </a:rPr>
              <a:t>Количество субъектов Российской Федерации, в которых внедрена целевая модель цифровой образовательной среды в образовательных организациях</a:t>
            </a:r>
          </a:p>
        </c:rich>
      </c:tx>
      <c:layout>
        <c:manualLayout>
          <c:xMode val="edge"/>
          <c:yMode val="edge"/>
          <c:x val="0.10282314024562419"/>
          <c:y val="1.089547040121068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190909827145765E-2"/>
          <c:y val="0.16482466012504318"/>
          <c:w val="0.79194486620946203"/>
          <c:h val="0.75645509015968626"/>
        </c:manualLayout>
      </c:layout>
      <c:bar3DChart>
        <c:barDir val="col"/>
        <c:grouping val="clustered"/>
        <c:varyColors val="0"/>
        <c:ser>
          <c:idx val="0"/>
          <c:order val="0"/>
          <c:tx>
            <c:v>2019 год</c:v>
          </c:tx>
          <c:invertIfNegative val="0"/>
          <c:dLbls>
            <c:dLbl>
              <c:idx val="0"/>
              <c:layout>
                <c:manualLayout>
                  <c:x val="1.1444919597186893E-2"/>
                  <c:y val="-4.0858014004539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Лист2!$B$6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v>2020 год</c:v>
          </c:tx>
          <c:invertIfNegative val="0"/>
          <c:dLbls>
            <c:dLbl>
              <c:idx val="0"/>
              <c:layout>
                <c:manualLayout>
                  <c:x val="7.6299463981246299E-3"/>
                  <c:y val="-3.268641120363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Лист2!$B$7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2"/>
          <c:order val="2"/>
          <c:tx>
            <c:v>2021 год</c:v>
          </c:tx>
          <c:invertIfNegative val="0"/>
          <c:dLbls>
            <c:dLbl>
              <c:idx val="0"/>
              <c:layout>
                <c:manualLayout>
                  <c:x val="7.6299463981245952E-3"/>
                  <c:y val="-3.2686411203632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Лист2!$B$8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v>2022 год</c:v>
          </c:tx>
          <c:invertIfNegative val="0"/>
          <c:dLbls>
            <c:dLbl>
              <c:idx val="0"/>
              <c:layout>
                <c:manualLayout>
                  <c:x val="0"/>
                  <c:y val="-3.5410278803934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Лист2!$B$9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v>2023 год</c:v>
          </c:tx>
          <c:invertIfNegative val="0"/>
          <c:dLbls>
            <c:dLbl>
              <c:idx val="0"/>
              <c:layout>
                <c:manualLayout>
                  <c:x val="0"/>
                  <c:y val="-3.8134146404237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Лист2!$B$10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tx>
            <c:v>2024 год</c:v>
          </c:tx>
          <c:invertIfNegative val="0"/>
          <c:dLbls>
            <c:dLbl>
              <c:idx val="0"/>
              <c:layout>
                <c:manualLayout>
                  <c:x val="2.0982352594842636E-2"/>
                  <c:y val="-3.81341464042373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Лист2!$B$11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6792960"/>
        <c:axId val="246794496"/>
        <c:axId val="0"/>
      </c:bar3DChart>
      <c:catAx>
        <c:axId val="246792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46794496"/>
        <c:crosses val="autoZero"/>
        <c:auto val="1"/>
        <c:lblAlgn val="ctr"/>
        <c:lblOffset val="100"/>
        <c:noMultiLvlLbl val="0"/>
      </c:catAx>
      <c:valAx>
        <c:axId val="24679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679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097570472599095"/>
          <c:y val="0.43799239473443213"/>
          <c:w val="0.12016088331628695"/>
          <c:h val="0.27437647498116557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Доля обучающихся,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8"/>
          <c:dLbls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Лист3!$B$6:$B$11</c:f>
              <c:numCache>
                <c:formatCode>General</c:formatCode>
                <c:ptCount val="6"/>
                <c:pt idx="0">
                  <c:v>0</c:v>
                </c:pt>
                <c:pt idx="1">
                  <c:v>10</c:v>
                </c:pt>
                <c:pt idx="2">
                  <c:v>25</c:v>
                </c:pt>
                <c:pt idx="3">
                  <c:v>50</c:v>
                </c:pt>
                <c:pt idx="4">
                  <c:v>72</c:v>
                </c:pt>
                <c:pt idx="5">
                  <c:v>90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9695943238656062"/>
          <c:y val="0.31898902240683841"/>
          <c:w val="9.1603593077545425E-2"/>
          <c:h val="0.36301668655206393"/>
        </c:manualLayout>
      </c:layout>
      <c:overlay val="0"/>
      <c:txPr>
        <a:bodyPr/>
        <a:lstStyle/>
        <a:p>
          <a:pPr rtl="0"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7030A0"/>
                </a:solidFill>
              </a:rPr>
              <a:t>Доля обучающихся,которым на Едином портале государственных услуг доступен личный кабинет "Образование", обеспечивающий фиксацию образовательных результатов, просмотр индивидуального плана обучения, доступ к образовательному профилю</a:t>
            </a:r>
          </a:p>
        </c:rich>
      </c:tx>
      <c:layout>
        <c:manualLayout>
          <c:xMode val="edge"/>
          <c:yMode val="edge"/>
          <c:x val="0.1131842649098754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40591016261642E-2"/>
          <c:y val="0.23577446242589484"/>
          <c:w val="0.80123201857086812"/>
          <c:h val="0.68990603006590212"/>
        </c:manualLayout>
      </c:layout>
      <c:bar3DChart>
        <c:barDir val="col"/>
        <c:grouping val="clustered"/>
        <c:varyColors val="0"/>
        <c:ser>
          <c:idx val="0"/>
          <c:order val="0"/>
          <c:tx>
            <c:v>2019 год</c:v>
          </c:tx>
          <c:invertIfNegative val="0"/>
          <c:dLbls>
            <c:dLbl>
              <c:idx val="0"/>
              <c:layout>
                <c:manualLayout>
                  <c:x val="1.2326656394453005E-2"/>
                  <c:y val="-2.7810205161120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Лист4!$B$6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v>2020 год</c:v>
          </c:tx>
          <c:invertIfNegative val="0"/>
          <c:dLbls>
            <c:dLbl>
              <c:idx val="0"/>
              <c:layout>
                <c:manualLayout>
                  <c:x val="1.4381099126861877E-2"/>
                  <c:y val="-2.7809961854367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Лист4!$B$7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v>2021 год</c:v>
          </c:tx>
          <c:invertIfNegative val="0"/>
          <c:dLbls>
            <c:dLbl>
              <c:idx val="0"/>
              <c:layout>
                <c:manualLayout>
                  <c:x val="1.6435541859270673E-2"/>
                  <c:y val="-3.0900200922716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Лист4!$B$8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</c:ser>
        <c:ser>
          <c:idx val="3"/>
          <c:order val="3"/>
          <c:tx>
            <c:v>2022 год</c:v>
          </c:tx>
          <c:invertIfNegative val="0"/>
          <c:dLbls>
            <c:dLbl>
              <c:idx val="0"/>
              <c:layout>
                <c:manualLayout>
                  <c:x val="1.8489984591679508E-2"/>
                  <c:y val="-2.7809961854367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Лист4!$B$9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4"/>
          <c:tx>
            <c:v>2023 год</c:v>
          </c:tx>
          <c:invertIfNegative val="0"/>
          <c:dLbls>
            <c:dLbl>
              <c:idx val="0"/>
              <c:layout>
                <c:manualLayout>
                  <c:x val="1.8489984591679508E-2"/>
                  <c:y val="-2.7809961854367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Лист4!$B$10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5"/>
          <c:order val="5"/>
          <c:tx>
            <c:v>2024 год</c:v>
          </c:tx>
          <c:invertIfNegative val="0"/>
          <c:dLbls>
            <c:dLbl>
              <c:idx val="0"/>
              <c:layout>
                <c:manualLayout>
                  <c:x val="1.8489984591679508E-2"/>
                  <c:y val="-2.1629970331174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Лист4!$B$11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7443840"/>
        <c:axId val="247445376"/>
        <c:axId val="0"/>
      </c:bar3DChart>
      <c:catAx>
        <c:axId val="247443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47445376"/>
        <c:crosses val="autoZero"/>
        <c:auto val="1"/>
        <c:lblAlgn val="ctr"/>
        <c:lblOffset val="100"/>
        <c:noMultiLvlLbl val="0"/>
      </c:catAx>
      <c:valAx>
        <c:axId val="24744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443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C00000"/>
                </a:solidFill>
              </a:rPr>
              <a:t>Доля образовательных организаций, осуществляющих образовательную деятельность с использованием федеральной информационно-сервисной платформы цифровой образовательной среды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2019 год</c:v>
          </c:tx>
          <c:invertIfNegative val="0"/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Лист5!$B$6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v>2020 год</c:v>
          </c:tx>
          <c:invertIfNegative val="0"/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Лист5!$B$7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ser>
          <c:idx val="2"/>
          <c:order val="2"/>
          <c:tx>
            <c:v>2021 год</c:v>
          </c:tx>
          <c:invertIfNegative val="0"/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Лист5!$B$8</c:f>
              <c:numCache>
                <c:formatCode>General</c:formatCode>
                <c:ptCount val="1"/>
                <c:pt idx="0">
                  <c:v>35.4</c:v>
                </c:pt>
              </c:numCache>
            </c:numRef>
          </c:val>
        </c:ser>
        <c:ser>
          <c:idx val="3"/>
          <c:order val="3"/>
          <c:tx>
            <c:v>2022 год</c:v>
          </c:tx>
          <c:invertIfNegative val="0"/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Лист5!$B$9</c:f>
              <c:numCache>
                <c:formatCode>General</c:formatCode>
                <c:ptCount val="1"/>
                <c:pt idx="0">
                  <c:v>59.6</c:v>
                </c:pt>
              </c:numCache>
            </c:numRef>
          </c:val>
        </c:ser>
        <c:ser>
          <c:idx val="4"/>
          <c:order val="4"/>
          <c:tx>
            <c:v>2023 год</c:v>
          </c:tx>
          <c:invertIfNegative val="0"/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Лист5!$B$10</c:f>
              <c:numCache>
                <c:formatCode>General</c:formatCode>
                <c:ptCount val="1"/>
                <c:pt idx="0">
                  <c:v>75.099999999999994</c:v>
                </c:pt>
              </c:numCache>
            </c:numRef>
          </c:val>
        </c:ser>
        <c:ser>
          <c:idx val="5"/>
          <c:order val="5"/>
          <c:tx>
            <c:v>2024 год</c:v>
          </c:tx>
          <c:invertIfNegative val="0"/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Лист5!$B$11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47903360"/>
        <c:axId val="247904896"/>
      </c:barChart>
      <c:catAx>
        <c:axId val="247903360"/>
        <c:scaling>
          <c:orientation val="minMax"/>
        </c:scaling>
        <c:delete val="0"/>
        <c:axPos val="b"/>
        <c:majorTickMark val="out"/>
        <c:minorTickMark val="none"/>
        <c:tickLblPos val="nextTo"/>
        <c:crossAx val="247904896"/>
        <c:crosses val="autoZero"/>
        <c:auto val="1"/>
        <c:lblAlgn val="ctr"/>
        <c:lblOffset val="100"/>
        <c:noMultiLvlLbl val="0"/>
      </c:catAx>
      <c:valAx>
        <c:axId val="24790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7903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00B0F0"/>
                </a:solidFill>
              </a:rPr>
              <a:t>Доля документов ведомственной и статистической отчетности, формирующаяся на основании однократно введенных первичных данных, в образовательных организациях, в которых внедрена целевая модель цифровой образовательной среды</a:t>
            </a:r>
          </a:p>
        </c:rich>
      </c:tx>
      <c:layout>
        <c:manualLayout>
          <c:xMode val="edge"/>
          <c:yMode val="edge"/>
          <c:x val="0.11338818426139846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63063063063063E-2"/>
          <c:y val="0.17642803083697484"/>
          <c:w val="0.80355962261474068"/>
          <c:h val="0.82357196916302522"/>
        </c:manualLayout>
      </c:layout>
      <c:pie3D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Lit>
              <c:formatCode>General</c:formatCode>
              <c:ptCount val="6"/>
              <c:pt idx="0">
                <c:v>2019</c:v>
              </c:pt>
              <c:pt idx="1">
                <c:v>2020</c:v>
              </c:pt>
              <c:pt idx="2">
                <c:v>2021</c:v>
              </c:pt>
              <c:pt idx="3">
                <c:v>2022</c:v>
              </c:pt>
              <c:pt idx="4">
                <c:v>2023</c:v>
              </c:pt>
              <c:pt idx="5">
                <c:v>2024</c:v>
              </c:pt>
            </c:numLit>
          </c:cat>
          <c:val>
            <c:numRef>
              <c:f>Лист6!$B$6:$B$11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70</c:v>
                </c:pt>
                <c:pt idx="4">
                  <c:v>80</c:v>
                </c:pt>
                <c:pt idx="5">
                  <c:v>90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7035227353337585"/>
          <c:y val="0.38558175087429603"/>
          <c:w val="8.640448322338086E-2"/>
          <c:h val="0.34125737529954281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C00000"/>
                </a:solidFill>
              </a:rPr>
              <a:t>Доля обучающихся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</a:t>
            </a:r>
          </a:p>
        </c:rich>
      </c:tx>
      <c:layout>
        <c:manualLayout>
          <c:xMode val="edge"/>
          <c:yMode val="edge"/>
          <c:x val="0.11143313926150111"/>
          <c:y val="1.2274643703095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2019 год</c:v>
          </c:tx>
          <c:invertIfNegative val="0"/>
          <c:dLbls>
            <c:dLbl>
              <c:idx val="0"/>
              <c:layout>
                <c:manualLayout>
                  <c:x val="1.3029315960912053E-2"/>
                  <c:y val="-9.205982777321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Лист7!$B$6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v>2020 год</c:v>
          </c:tx>
          <c:invertIfNegative val="0"/>
          <c:dLbls>
            <c:dLbl>
              <c:idx val="0"/>
              <c:layout>
                <c:manualLayout>
                  <c:x val="1.3029315960912053E-2"/>
                  <c:y val="-1.5343304628869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Лист7!$B$7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v>2021 год</c:v>
          </c:tx>
          <c:invertIfNegative val="0"/>
          <c:dLbls>
            <c:dLbl>
              <c:idx val="0"/>
              <c:layout>
                <c:manualLayout>
                  <c:x val="1.0857763300760043E-2"/>
                  <c:y val="-2.1480626480417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Лист7!$B$8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v>2022 год</c:v>
          </c:tx>
          <c:invertIfNegative val="0"/>
          <c:dLbls>
            <c:dLbl>
              <c:idx val="0"/>
              <c:layout>
                <c:manualLayout>
                  <c:x val="1.3029315960912053E-2"/>
                  <c:y val="-1.8411965554643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Лист7!$B$9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tx>
            <c:v>2023 год</c:v>
          </c:tx>
          <c:invertIfNegative val="0"/>
          <c:dLbls>
            <c:dLbl>
              <c:idx val="0"/>
              <c:layout>
                <c:manualLayout>
                  <c:x val="1.3029315960912053E-2"/>
                  <c:y val="-2.7617948331965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Лист7!$B$10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5"/>
          <c:order val="5"/>
          <c:tx>
            <c:v>2024 год</c:v>
          </c:tx>
          <c:invertIfNegative val="0"/>
          <c:dLbls>
            <c:dLbl>
              <c:idx val="0"/>
              <c:layout>
                <c:manualLayout>
                  <c:x val="1.3029315960911973E-2"/>
                  <c:y val="-2.4549287406191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Лист7!$B$11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49730176"/>
        <c:axId val="249731712"/>
        <c:axId val="0"/>
      </c:bar3DChart>
      <c:catAx>
        <c:axId val="249730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49731712"/>
        <c:crosses val="autoZero"/>
        <c:auto val="1"/>
        <c:lblAlgn val="ctr"/>
        <c:lblOffset val="100"/>
        <c:noMultiLvlLbl val="0"/>
      </c:catAx>
      <c:valAx>
        <c:axId val="24973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730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00B0F0"/>
                </a:solidFill>
              </a:rPr>
              <a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2019 год</c:v>
          </c:tx>
          <c:invertIfNegative val="0"/>
          <c:dLbls>
            <c:dLbl>
              <c:idx val="0"/>
              <c:layout>
                <c:manualLayout>
                  <c:x val="8.4925690021231421E-3"/>
                  <c:y val="-1.9875773805347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Лист8!$B$6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v>2020 год</c:v>
          </c:tx>
          <c:invertIfNegative val="0"/>
          <c:dLbls>
            <c:dLbl>
              <c:idx val="0"/>
              <c:layout>
                <c:manualLayout>
                  <c:x val="8.4925690021231421E-3"/>
                  <c:y val="-1.9875773805347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Лист8!$B$7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v>2021 год</c:v>
          </c:tx>
          <c:invertIfNegative val="0"/>
          <c:dLbls>
            <c:dLbl>
              <c:idx val="0"/>
              <c:layout>
                <c:manualLayout>
                  <c:x val="6.369426751592357E-3"/>
                  <c:y val="-2.981366070802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Лист8!$B$8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tx>
            <c:v>2022 год</c:v>
          </c:tx>
          <c:invertIfNegative val="0"/>
          <c:dLbls>
            <c:dLbl>
              <c:idx val="0"/>
              <c:layout>
                <c:manualLayout>
                  <c:x val="4.246284501061571E-3"/>
                  <c:y val="-2.6501031740463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Лист8!$B$9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v>2023 год</c:v>
          </c:tx>
          <c:invertIfNegative val="0"/>
          <c:dLbls>
            <c:dLbl>
              <c:idx val="0"/>
              <c:layout>
                <c:manualLayout>
                  <c:x val="6.369426751592357E-3"/>
                  <c:y val="-2.981366070802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Лист8!$B$10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5"/>
          <c:order val="5"/>
          <c:tx>
            <c:v>2024 год</c:v>
          </c:tx>
          <c:invertIfNegative val="0"/>
          <c:dLbls>
            <c:dLbl>
              <c:idx val="0"/>
              <c:layout>
                <c:manualLayout>
                  <c:x val="1.9108280254777069E-2"/>
                  <c:y val="-2.3188402772905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1"/>
              <c:pt idx="0">
                <c:v>Процент</c:v>
              </c:pt>
            </c:strLit>
          </c:cat>
          <c:val>
            <c:numRef>
              <c:f>Лист8!$B$11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49669120"/>
        <c:axId val="249670656"/>
        <c:axId val="0"/>
      </c:bar3DChart>
      <c:catAx>
        <c:axId val="249669120"/>
        <c:scaling>
          <c:orientation val="minMax"/>
        </c:scaling>
        <c:delete val="0"/>
        <c:axPos val="b"/>
        <c:majorTickMark val="out"/>
        <c:minorTickMark val="none"/>
        <c:tickLblPos val="nextTo"/>
        <c:crossAx val="249670656"/>
        <c:crosses val="autoZero"/>
        <c:auto val="1"/>
        <c:lblAlgn val="ctr"/>
        <c:lblOffset val="100"/>
        <c:noMultiLvlLbl val="0"/>
      </c:catAx>
      <c:valAx>
        <c:axId val="24967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66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0.04101</cdr:x>
      <cdr:y>0.60982</cdr:y>
    </cdr:from>
    <cdr:to>
      <cdr:x>0.15682</cdr:x>
      <cdr:y>0.74079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3852" y="425767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Процент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0.32567</cdr:x>
      <cdr:y>0.93561</cdr:y>
    </cdr:from>
    <cdr:to>
      <cdr:x>0.56705</cdr:x>
      <cdr:y>0.98876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28876" y="5547515"/>
          <a:ext cx="1800225" cy="31512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Количество единиц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0.05146</cdr:x>
      <cdr:y>0.81457</cdr:y>
    </cdr:from>
    <cdr:to>
      <cdr:x>0.21612</cdr:x>
      <cdr:y>0.88609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5751" y="2928938"/>
          <a:ext cx="9144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Процент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0.67066</cdr:x>
      <cdr:y>0.90061</cdr:y>
    </cdr:from>
    <cdr:to>
      <cdr:x>0.81437</cdr:x>
      <cdr:y>0.97091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267200" y="3538538"/>
          <a:ext cx="914400" cy="2762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Процент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AProshin</dc:creator>
  <cp:lastModifiedBy>AProshin</cp:lastModifiedBy>
  <cp:revision>1</cp:revision>
  <dcterms:created xsi:type="dcterms:W3CDTF">2019-04-23T13:37:00Z</dcterms:created>
  <dcterms:modified xsi:type="dcterms:W3CDTF">2019-04-23T13:40:00Z</dcterms:modified>
</cp:coreProperties>
</file>