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149"/>
        <w:gridCol w:w="717"/>
        <w:gridCol w:w="286"/>
        <w:gridCol w:w="287"/>
        <w:gridCol w:w="143"/>
        <w:gridCol w:w="430"/>
        <w:gridCol w:w="286"/>
        <w:gridCol w:w="717"/>
        <w:gridCol w:w="286"/>
        <w:gridCol w:w="430"/>
        <w:gridCol w:w="430"/>
        <w:gridCol w:w="287"/>
        <w:gridCol w:w="143"/>
        <w:gridCol w:w="143"/>
        <w:gridCol w:w="430"/>
        <w:gridCol w:w="716"/>
        <w:gridCol w:w="144"/>
        <w:gridCol w:w="286"/>
        <w:gridCol w:w="143"/>
        <w:gridCol w:w="144"/>
        <w:gridCol w:w="430"/>
        <w:gridCol w:w="143"/>
        <w:gridCol w:w="143"/>
        <w:gridCol w:w="143"/>
        <w:gridCol w:w="430"/>
        <w:gridCol w:w="144"/>
        <w:gridCol w:w="429"/>
        <w:gridCol w:w="144"/>
        <w:gridCol w:w="143"/>
        <w:gridCol w:w="573"/>
        <w:gridCol w:w="143"/>
        <w:gridCol w:w="144"/>
        <w:gridCol w:w="143"/>
        <w:gridCol w:w="143"/>
        <w:gridCol w:w="430"/>
        <w:gridCol w:w="287"/>
        <w:gridCol w:w="286"/>
        <w:gridCol w:w="287"/>
        <w:gridCol w:w="143"/>
        <w:gridCol w:w="287"/>
        <w:gridCol w:w="1003"/>
      </w:tblGrid>
      <w:tr w:rsidR="009937E7">
        <w:trPr>
          <w:trHeight w:hRule="exact" w:val="860"/>
        </w:trPr>
        <w:tc>
          <w:tcPr>
            <w:tcW w:w="15618" w:type="dxa"/>
            <w:gridSpan w:val="45"/>
          </w:tcPr>
          <w:p w:rsidR="009937E7" w:rsidRDefault="009937E7">
            <w:bookmarkStart w:id="0" w:name="_GoBack"/>
            <w:bookmarkEnd w:id="0"/>
          </w:p>
        </w:tc>
      </w:tr>
      <w:tr w:rsidR="009937E7">
        <w:trPr>
          <w:trHeight w:hRule="exact" w:val="387"/>
        </w:trPr>
        <w:tc>
          <w:tcPr>
            <w:tcW w:w="15618" w:type="dxa"/>
            <w:gridSpan w:val="45"/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9937E7">
        <w:trPr>
          <w:trHeight w:hRule="exact" w:val="43"/>
        </w:trPr>
        <w:tc>
          <w:tcPr>
            <w:tcW w:w="15618" w:type="dxa"/>
            <w:gridSpan w:val="45"/>
          </w:tcPr>
          <w:p w:rsidR="009937E7" w:rsidRDefault="009937E7"/>
        </w:tc>
      </w:tr>
      <w:tr w:rsidR="009937E7">
        <w:trPr>
          <w:trHeight w:hRule="exact" w:val="386"/>
        </w:trPr>
        <w:tc>
          <w:tcPr>
            <w:tcW w:w="15618" w:type="dxa"/>
            <w:gridSpan w:val="45"/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9937E7">
        <w:trPr>
          <w:trHeight w:hRule="exact" w:val="43"/>
        </w:trPr>
        <w:tc>
          <w:tcPr>
            <w:tcW w:w="15618" w:type="dxa"/>
            <w:gridSpan w:val="45"/>
          </w:tcPr>
          <w:p w:rsidR="009937E7" w:rsidRDefault="009937E7"/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Современная школа</w:t>
            </w:r>
          </w:p>
        </w:tc>
      </w:tr>
      <w:tr w:rsidR="009937E7">
        <w:trPr>
          <w:trHeight w:hRule="exact" w:val="717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9937E7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033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"Образование"</w:t>
            </w:r>
          </w:p>
        </w:tc>
      </w:tr>
      <w:tr w:rsidR="009937E7">
        <w:trPr>
          <w:trHeight w:hRule="exact" w:val="1146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Современная школа</w:t>
            </w:r>
          </w:p>
        </w:tc>
        <w:tc>
          <w:tcPr>
            <w:tcW w:w="30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начала и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окончания проекта</w:t>
            </w:r>
          </w:p>
        </w:tc>
        <w:tc>
          <w:tcPr>
            <w:tcW w:w="32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01.11.2018 - 31.12.2024</w:t>
            </w:r>
          </w:p>
        </w:tc>
      </w:tr>
      <w:tr w:rsidR="009937E7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11033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Татьяна Алексеевна, Заместитель Председателя Правительства Российской Федерации</w:t>
            </w:r>
          </w:p>
        </w:tc>
      </w:tr>
      <w:tr w:rsidR="009937E7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Старшее должностное лицо (СДЛ)</w:t>
            </w:r>
          </w:p>
        </w:tc>
        <w:tc>
          <w:tcPr>
            <w:tcW w:w="11033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9937E7">
        <w:trPr>
          <w:trHeight w:hRule="exact" w:val="574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11033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Марина Николаевна, Заместитель Министра просвещения Российской Федерации</w:t>
            </w:r>
          </w:p>
        </w:tc>
      </w:tr>
      <w:tr w:rsidR="009937E7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11033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Анна Владимировна, 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</w:tr>
      <w:tr w:rsidR="009937E7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1033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"Развитие образования" на 2013 - 2020 годы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Цели и показатели федерального проекта</w:t>
            </w:r>
          </w:p>
        </w:tc>
      </w:tr>
      <w:tr w:rsidR="009937E7">
        <w:trPr>
          <w:trHeight w:hRule="exact" w:val="124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</w:t>
            </w:r>
          </w:p>
        </w:tc>
      </w:tr>
      <w:tr w:rsidR="009937E7">
        <w:trPr>
          <w:trHeight w:hRule="exact" w:val="43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01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</w:p>
        </w:tc>
        <w:tc>
          <w:tcPr>
            <w:tcW w:w="6591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9937E7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9937E7">
        <w:trPr>
          <w:trHeight w:hRule="exact" w:val="15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Средневзвешенный результат Российской Федерации в группе международных исследований, средневзвешенное место Российской Федерации (не ниже), Место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14,50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31.12.2015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14,50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12,50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11,50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10,50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</w:t>
            </w:r>
          </w:p>
        </w:tc>
      </w:tr>
      <w:tr w:rsidR="009937E7">
        <w:trPr>
          <w:trHeight w:hRule="exact" w:val="176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процент, Процент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</w:tr>
      <w:tr w:rsidR="009937E7">
        <w:trPr>
          <w:trHeight w:hRule="exact" w:val="282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тыс. единиц, Тысяча единиц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Дополнительный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13,50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человек, Тысяча человек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Дополнительный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400,00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550,00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800,00</w:t>
            </w:r>
          </w:p>
        </w:tc>
      </w:tr>
      <w:tr w:rsidR="009937E7">
        <w:trPr>
          <w:trHeight w:hRule="exact" w:val="176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созданных новых мест в общеобразовательных организациях, расположенных в сельской местности и поселках городского типа, не менее тыс. мест, Тысяча мест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Дополнительный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2,40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2,40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4,90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15,70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20,60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24,50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24,50</w:t>
            </w:r>
          </w:p>
        </w:tc>
      </w:tr>
      <w:tr w:rsidR="009937E7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ликвидировано обучение в 3-ю смену, процент, Процент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Дополнительный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95,30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95,30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96,70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98,20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99,70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Задачи и результаты федерального проекта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902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тельный процесс, а также обновление содержания и совершенствование методов обучения предметной области "Технология"</w:t>
            </w:r>
          </w:p>
        </w:tc>
      </w:tr>
      <w:tr w:rsidR="009937E7">
        <w:trPr>
          <w:trHeight w:val="26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возможность изучать предметную область "Технология" и других предметных областей на базе организаций, имеющих высокооснащенные ученико-места , в т.ч. детских технопарков "Кванториум"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31.12.2019 - 10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31.12.2020 - 20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1.12.2021 - 35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31.12.2022 - 50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31.12.2023 - 65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    на 31.12.2024 - 85 ед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Сформирована система мероприятий по формированию новых условий реализации предметной области "Технология" и других предметных областей, в том числе: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перечень субъектов Российской Федерации, реализующих мероприятия по освоению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на базе организаций, имеющих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высокооснащенные ученико-места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в том числе детских технопарков "Кванториум"; осуществлен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отбор через профильную информационную систему результатов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тора экономики, потенциально пригодных для реализации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областей;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сформированы методические рекомендации освоения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других предметных областей на базе организаций, имеющих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высокооснащенные ученико-места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 том числе детских технопарков "Кванториум";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обновление содержания примерных общеобразовательных программ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2019 года не менее чем в 10 субъектах Российской Федерации изучение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осуществляется на базе высокотехнологичных организаций, в том числе детских </w:t>
            </w:r>
          </w:p>
          <w:p w:rsidR="009937E7" w:rsidRDefault="009937E7"/>
        </w:tc>
      </w:tr>
      <w:tr w:rsidR="009937E7">
        <w:trPr>
          <w:trHeight w:hRule="exact" w:val="257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57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технопарков "Кванториум",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образования для детей с ограниченными возможностями здоровья. Обновление 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31.12.2019 - 236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31.12.2020 - 260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31.12.2021 - 400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31.12.2022 - 530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    на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1.12.2023 - 670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31.12.2024 - 800 ед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По итогам отбора предоставлены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базы, в том числе для реализации предметной области "Технология" и других предметных областей в организация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Сформированы методические рекомендации по материально-техническому оснащению и обновлению содержания образования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организациях, осуществляющих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адаптированным общеобразовательным программам,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учетом необходимости обеспечения условий для обновления содержания и совершенствования методов обучения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других предметных област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ей.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мониторинг реализации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со сформированными методи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ческими рекомендациями.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обновление содержания образовательных программ, в том числе по предметной области "Технология" и другим предметным областям, методик преподавания и оценивания результатов освоения образовательных программ, дизайна инфрас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труктуры, перечня учебного оборудования и учебно-методических комплексов с учетом особых образовательных </w:t>
            </w:r>
          </w:p>
          <w:p w:rsidR="009937E7" w:rsidRDefault="009937E7"/>
        </w:tc>
      </w:tr>
      <w:tr w:rsidR="009937E7">
        <w:trPr>
          <w:trHeight w:hRule="exact" w:val="257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57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1891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потребностей обучающихся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2019 года не менее чем в 130 организациях, осуществляющих образовательную 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обновлена материально-техническая база, созданы условия для реализации дистанционных программ обучения определенных категорий обучающихся.</w:t>
            </w:r>
          </w:p>
          <w:p w:rsidR="009937E7" w:rsidRDefault="009937E7"/>
        </w:tc>
      </w:tr>
      <w:tr w:rsidR="009937E7">
        <w:trPr>
          <w:trHeight w:hRule="exact" w:val="187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622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рофилей в общеобразовательных организациях, расположенных в сельской местности и малых городах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31.12.2019 - 2,049 тыс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31.12.2020 - 5 тыс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31.12.2021 - 8 тыс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31.12.2022 - 11 тыс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31.12.2023 - 13,5 тыс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31.12.2024 - 16 тыс ед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 итогам отбора предоставлены субсидии из федерального бюджета бюджетам субъектов Российской Федерации на создание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ственнонаучного и гуманитарного профилей в школах, расположенных в сельской местности и малых городах.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отбор заявок и заключение соглашений с высшими исполнительными органами государственной власти субъектов Российской Федерации о предоставлении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ехнического и гуманитарного профилей в школах, расположенных в сельской местности и малых городах, в том числе школах, работающих в неблагоприятных социальных условиях.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260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 w:rsidTr="00E34816">
        <w:trPr>
          <w:trHeight w:hRule="exact" w:val="2563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 концу 2024 года не менее чем в 16 тыс. школ, расположенных в сельской местности и малых городах, не менее чем в 80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субъектах Российской Федерации создана материально-техническая база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профилей, с охватом не менее 800 тыс. детей, в том числ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 в школах, работающих в неблагоприятных социальных условиях.</w:t>
            </w:r>
          </w:p>
          <w:p w:rsidR="009937E7" w:rsidRDefault="009937E7"/>
        </w:tc>
      </w:tr>
      <w:tr w:rsidR="009937E7">
        <w:trPr>
          <w:trHeight w:hRule="exact" w:val="227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3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 программам среднего профессионального образования, в том числе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применением лучших практик обмена опытом между обучающимися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31.12.2019 - 1 докум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2019 года разработана и утверждена методология (целевая модель)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обучающихся для организаций, осуществляющих образовательную деятельность по общ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еобразовательным, дополнительным общеобразовательным и программам среднего профессионального образования. Целевая модель позволит сформировать организационно-методическую основу для внедрения и последующего развития механизмов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обучающихся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деятельности. Сформированы рекомендации по обновлению содержания образовательных программ, методик препо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давания и оценивания результатов освоения образовательных программ с учетом утвержденной методологии. Проведен ежегодный мониторинг по оценке качества изменений в освоении обучающимися образовательных программ в соответствии с характеристиками результатов.</w:t>
            </w:r>
          </w:p>
          <w:p w:rsidR="009937E7" w:rsidRDefault="009937E7"/>
        </w:tc>
      </w:tr>
      <w:tr w:rsidR="009937E7">
        <w:trPr>
          <w:trHeight w:hRule="exact" w:val="233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07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новые места в общеобразовательных организациях, расположенных в сельской местности и поселках городского типа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31.12.2019 - 1500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31.12.2020 - 3900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31.12.2021 - 6700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    на 31.12.2022 - 8200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31.12.2024 - 11500 мест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Реализованы мероприятия региональных программ по модернизации инфраструктуры общего образования (строительство зданий (пристроек к зданию), приобретение (выкуп) зданий (пристроек к зданиям) общео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бразовательных организаций, расположенных в сельской местности и поселках городского типа , в том числе оснащение новых мест в общеобразовательных организациях средствами обучения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воспитания, необходимыми для реализации основных образовательных программ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начального общего, основного общего и среднего общего образования.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повышение доступности современных условий образования в сельской местности и малых городах за счет ввода к концу 2019 года не менее 4,9 тыс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новых мест в общеобразовательных 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анизациях, расположенных в сельской местности и поселках городского типа.</w:t>
            </w:r>
          </w:p>
          <w:p w:rsidR="009937E7" w:rsidRDefault="009937E7"/>
        </w:tc>
      </w:tr>
      <w:tr w:rsidR="009937E7">
        <w:trPr>
          <w:trHeight w:hRule="exact" w:val="206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34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по модернизации инфраструктуры общего образования в отдельных субъектах Российской Федерации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31.12.2019 - 3517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31.12.2020 - 7292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31.12.2021 - 16032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31.12.2023 - 16032 мест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мероприятия, направленные на модернизацию инфраструктуры общего образования в отдельных субъектах Российской Федерации, путем предоставления субсидий из федерального бюджета бюджетам субъектов Российской Федерац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ии, что позволит до конца 2023 года ввести новых 16 032 мест.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184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151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устойчивого развития сельских территорий 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31.12.2019 - 320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31.12.2020 - 848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31.12.2022 - 1648 мест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 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мероприятия, направленные на создание новых мест в общеобразовательных организациях, расположенных в сельской местности, государственных программ субъектов Российской Федерации (подпрограмм государственных программ субъектов Российской Федераци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и, региональных проектов), путем предоставления субсидий из федерального бюджета бюджетам субъектов Российской Федерации, что позволит до конца 2019 года построить общеобразовательные организации в сельской местности на 320 уч. мест.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151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07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1.8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31.12.2021 - 2 объект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​Реализованы мероприятия, направленные на создание новых мест в общеобразов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ательных организациях, расположенных в субъектах Российской Федерации, входящих в состав Северо-Кавказского федерального округа, путем предоставления субсидий из федерального бюджета бюджетам субъектов Российской Федерации, что позволит до конца 2021 года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построить 2 общеобразовательные организации.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55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сформированы методические рекомендации по системе функционирования психологических служб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общеобразовательных организациях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31.12.2020 - 5 ед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2020 года сформированы, апробированы и внедрены методические рекомендации по системе функционирования психологических служб в общеобразовательных организациях в не менее чем в 5 субъектах Российской Федерации, что позволит обеспечить единые подходы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 созданию необходимых организационных, методических и финансово-экономических условий для психологического сопровождения обучающихся. С учетом результатов апробации методические рекомендации будут обновлены и доведены до субъектов Российской Федерации</w:t>
            </w:r>
          </w:p>
          <w:p w:rsidR="009937E7" w:rsidRDefault="009937E7"/>
        </w:tc>
      </w:tr>
      <w:tr w:rsidR="009937E7">
        <w:trPr>
          <w:trHeight w:hRule="exact" w:val="193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31.12.2019 - 1 докум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2019 года разработана методоло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гия и критерии оценки качества общего образования в общеобразовательных организациях на основе опыта проведения массовых оценочных процедур в Российской Федерации, практики международных сопоставительных исследований качества образования и в интеграции с 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же выстроенной системой оценки качества российского образования, что позволит обеспечить основные организационные, методологические условия для эффективной реализации мероприятий настоящего федерального проекта, а также для достижения ключевых показателей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национального проекта "Образование" в части обеспечения к 2024 году глобальной конкурентоспособности общего образования России.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Разработаны рекомендации по использованию методологии оценки в общеобразовательных организациях.</w:t>
            </w:r>
          </w:p>
          <w:p w:rsidR="009937E7" w:rsidRDefault="009937E7"/>
        </w:tc>
      </w:tr>
      <w:tr w:rsidR="009937E7">
        <w:trPr>
          <w:trHeight w:hRule="exact" w:val="193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34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овательных программ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31.12.2024 - 1 докум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2020 года 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азвитием общеобразовательной организации, обеспечены организационные и методологические условия для участия указанных структур в принятии соответствующих решений.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34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30.04.2021 - 21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29.04.2022 - 43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28.04.2023 - 64 ед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30.04.2024 - 85 ед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30 апреля 2024 года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едена оценка качества общего образования в 85 субъектах Российской Федерации (кроме организаций, осуществляющих образовательную деятельность исключительно по адаптированным общеобразовательным программам) в соответствии с методологией и критериями на основ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 практики международных исследований и опыта проведения массовых оценочных процедур в Российской Федерации.</w:t>
            </w:r>
          </w:p>
          <w:p w:rsidR="009937E7" w:rsidRDefault="009937E7"/>
        </w:tc>
      </w:tr>
      <w:tr w:rsidR="009937E7">
        <w:trPr>
          <w:trHeight w:hRule="exact" w:val="235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еднего профессионального и высшего образования, предприятий реального сектора экономики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01.09.2024 - 85 ед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2024 года во всех субъектах Российской Федерации изучение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осуществляетс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на базе высокотехнологичных организаций, в том числе детских технопарков "Кванториум",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1.14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Обновлены федеральные государственные образовательные стандарты общего образования, в том числе требования к результатам освоения образовательной программы общего образования в части формирования базовых знаний, умений и навыков, формализации "гибких 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тенций", и примерные основные общеобразовательные программы 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31.12.2024 - 1 докум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2021 года обновлены содержание, методики и технологии обучения по образовательным программам общего образования, в том числе в части учета особых образовательных потребностей обучающихся. В федеральные государственные образовательные стандарты (ФГО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С) общего образования внесены изменения, в том числе формализовано понятие "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гибкие компетенции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Обновлены примерные основные общеобразовательные программы по всем уровням общего образования в соответствии с обновленными ФГОС, что в совокупности обеспечит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условия для повышения качества общего образования.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Создана методология и технология разработки нового поколения измерительных материалов оценки уровня владения обучающимися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гибкими компетенциями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базовой грамотности (финансовой, информационной, правовой,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здоровьесберегающей и пр.). Обеспечено проведение оценки успешности в освоении обновленных образовательных программ обучающимися общеобразовательных организаций.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является ключевым результатом федерального проекта, непосредственно влияет на достиж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ение показателей национального проекта "Образование", в том числе показателя "средневзвешенный результат Российской Федерации в группе международных исследований".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18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17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1.15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Российской Федерации ликвидировано обучение в 3-ю смену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31.12.2019 - 8016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31.12.2020 - 16597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30.12.2024 - 35113 мест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2021 года ликвидировано обучение в 3-ю смену за счет ввода новых мест, оснащенных необходимой материально-технической базой, позволяющей реализовывать обновленные образовательные программы (по данным федерального статистического наблюдения по состо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янию на 1 января 2018 г. обучение в 3-ю смену не ликвидировано в Республике Дагестан, Карачаево-Черкесской Республике, Республике Бурятия и Республике Ингушетия).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новых мест в общеобразовательных организациях осуществлено в рамках региональных 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грамм, которые включают в себя мероприятия по модернизации инфраструктуры общего образования (строительство зданий (пристроек к зданию), приобретение (выкупа) зданий (пристроек к зданию) общеобразовательных организаций, расположенных в субъектах Российской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Федерации),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программы софинансируются из федерального бюджета, в том числе в рамках отдельной субсидии из федерального бюджета бюджетам субъектов Российской Федерации.</w:t>
            </w:r>
          </w:p>
          <w:p w:rsidR="009937E7" w:rsidRDefault="009937E7"/>
        </w:tc>
      </w:tr>
      <w:tr w:rsidR="009937E7">
        <w:trPr>
          <w:trHeight w:hRule="exact" w:val="16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16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193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31.12.2022 - 1 докум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2022 года внедрены обновленные примерные основные общеобразовательные программы, разработанные в рамках федерального проекта, в общеобразовательные организации всех субъектов Российской Федерации, что позволит повысить качество преподавания всех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едметных областей, обеспечить соответствие условий обучения современным требованиям, компетенциям и знаниям, а также будет способствовать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достижению главных целевых установок реализации настоящего федерального проекта и национального проекта "Образование"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целом.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9937E7" w:rsidRDefault="009937E7"/>
        </w:tc>
      </w:tr>
      <w:tr w:rsidR="009937E7">
        <w:trPr>
          <w:trHeight w:hRule="exact" w:val="193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82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 мониторинг внедрения обновленных примерных основных общеобразовательных программ, разработанных в рамках федерального проекта, во всех субъектах Российской Федерации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31.12.2024 - 1 докум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2024 года проведен мониторинг внедрения обн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Федерации, что позволит выработать необходимые и своевременные управленческие решения в 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качественного изменения преподавания основных предметных областей, а также будет способствовать достижению целевых показателей настоящего федерального проекта и национального проекта "Образование" в целом.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73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1.18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обучающихся общеобразовательных организаций вовлечены в различные формы сопровождения и наставничества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31.12.2024 - 70 проц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разработанной методологией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к концу 2024 года не менее 70% обучающихся общеобразовательных организац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ий вовлечены в различные формы сопровождения 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(2019 г. - 3 % обучающихся; 2020 г. - 10 % обучающихся; 2021 г. - 20 % обучающихся; 2022 г. - 35 % обучающихся; 2023 г. - 50 % обучающихся; 2024 г. - 70 % обучающихся), что позволит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создать усло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вия для формирования активной гражданской позиции у каждого обучающегося, а также достичь цели и целевых показателей национального проекта "Образование" в части воспитания гармонично развитой и социально ответственной личности на основе духовно-нравственны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 ценностей народов Российской Федерации, исторических и национально-культурных традиций.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Разработаны и внедрены программы менторства 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наставничеств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для обучающихся в рамках взаимодействия с предприятиями субъектов Российской Федерации.</w:t>
            </w:r>
          </w:p>
          <w:p w:rsidR="009937E7" w:rsidRDefault="009937E7"/>
        </w:tc>
      </w:tr>
      <w:tr w:rsidR="009937E7">
        <w:trPr>
          <w:trHeight w:hRule="exact" w:val="272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1.19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31.12.2024 - 70 проц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освоении программ общего образования. Реализация мероприятий федерального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аммы начального, основного и среднего общего образования - реализуют общеобразовательные программы в сетевой форме, накопительным итогом: 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г. – 3 % организаций;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 г. – 10 % организаций;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 г. – 20 % организаций;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 г. – 35 % организаций;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023 г. – 50 % организаций;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 г. – 70 % организаций.</w:t>
            </w:r>
          </w:p>
          <w:p w:rsidR="009937E7" w:rsidRDefault="009937E7"/>
        </w:tc>
      </w:tr>
      <w:tr w:rsidR="009937E7">
        <w:trPr>
          <w:trHeight w:hRule="exact" w:val="16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16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07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1.20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24 - 70 проц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2024 года не менее чем в 70% общеобразовательных организаций обеспечено вовлечение общественно-деловых объединений и участие представителей работодателей в принятии решений по вопросам управления развитием общеобразовательных организац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ий. 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9937E7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1.21</w:t>
            </w:r>
          </w:p>
        </w:tc>
        <w:tc>
          <w:tcPr>
            <w:tcW w:w="8167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31.12.2019 - 62535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31.12.2020 - 72170 мест</w:t>
            </w: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31.12.2024 - 230000 мест</w:t>
            </w:r>
          </w:p>
        </w:tc>
        <w:tc>
          <w:tcPr>
            <w:tcW w:w="6735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2024 года будут созданы не менее 230 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что позволит повысить доступность и улучшить качество общего образования.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новых мест в общеобразовательных организациях осуществлено в рамках региональных программ, которые включают в себя мероприятия по модернизации инфраструктуры общего образ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ования (строительство зданий (пристроек к зданию), приобретение (выкупа) зданий (пристроек к зданию) общеобразовательных организаций, расположенных в субъектах Российской Федерации), в том числе оснащение новых мест в общеобразовательных организациях средс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 Региональные программы софинансируются из федерального бюджета, в том числе в рамках отдельной суб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сидии из федерального бюджета бюджетам субъектов Российской Федерации.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Актуализированы 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ующих современным условиям обучения, необходимого оборудования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зовательных организациях, критерии его формирования и требования к функциональному оснащению, а также норматив стоимости оснащения одного места обучающегося средствами обучения и воспитания.</w:t>
            </w:r>
          </w:p>
          <w:p w:rsidR="009937E7" w:rsidRDefault="009937E7"/>
        </w:tc>
      </w:tr>
      <w:tr w:rsidR="009937E7">
        <w:trPr>
          <w:trHeight w:hRule="exact" w:val="275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73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6735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9937E7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9937E7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282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1.22</w:t>
            </w:r>
          </w:p>
        </w:tc>
        <w:tc>
          <w:tcPr>
            <w:tcW w:w="816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Построено и введено в эксплуатацию не менее 25 школ с привлечением частных инвестиций на условиях возвратного финансирования </w:t>
            </w: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31.12.2024 - 25 шт</w:t>
            </w:r>
          </w:p>
        </w:tc>
        <w:tc>
          <w:tcPr>
            <w:tcW w:w="673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2024 года построены и введены в эксплуатацию 25 школ с привлечением инициативного внебюджетног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финансирования на условиях возвратного финансирования, что позволит внедрить систему применения негосударственных инвестиций не только на этапе проектирования и строительства школ, но и в процессе их дальнейшего содержания и обслуживания. Данные меры 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ведут к оптимизации расходования бюджетных средств, а также будут способствовать развитию конкурентной среды в сфере образования субъектов Российской Федерации, в которых создаются подобные школы.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9937E7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9937E7" w:rsidRDefault="00EE3D4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42"/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 Финансовое обеспечение реализации федерального проекта</w:t>
            </w:r>
          </w:p>
          <w:p w:rsidR="009937E7" w:rsidRDefault="009937E7"/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9937E7" w:rsidRDefault="009937E7"/>
        </w:tc>
        <w:tc>
          <w:tcPr>
            <w:tcW w:w="146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ательный процесс, а также обновление содержания и совершенствование методов обучения предметной области "Технология"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9937E7" w:rsidRDefault="009937E7"/>
        </w:tc>
      </w:tr>
      <w:tr w:rsidR="009937E7">
        <w:trPr>
          <w:trHeight w:hRule="exact" w:val="229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образования для детей с ограниченными возможностями здоровья. Обновление материально-технической базы в организациях, 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1 019,93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1 019,00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1 019,00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1 019,00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6 014,93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5 850,00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5 700,00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1 019,93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969,00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5 864,93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1676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основных и дополнительных общеобразовательных программ цифрового и гуманитарного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3 276,22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3 172,20</w:t>
            </w:r>
          </w:p>
        </w:tc>
        <w:tc>
          <w:tcPr>
            <w:tcW w:w="12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3 294,60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3 304,60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2 804,80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2 804,80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18 657,22</w:t>
            </w:r>
          </w:p>
        </w:tc>
      </w:tr>
      <w:tr w:rsidR="009937E7">
        <w:trPr>
          <w:trHeight w:hRule="exact" w:val="167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3 080,00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3 110,00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3 230,00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3 240,00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2 750,00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2 750,00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18 160,00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3 080,00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3 110,00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3 230,00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3 230,00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2 740,00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2 740,00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18 130,00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3 276,22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3 172,20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3 294,60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3 294,60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2 794,80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2 794,80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18 627,22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1805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 программам среднего профессионального образования, в том числе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применением лучших практик обмена опытом между обучающимися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80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50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новые места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3 123,36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3 065,31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3 061,38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15 370,05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3 123,36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3 065,31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3 061,38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3 060,00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15 370,05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по модернизации инфраструктуры общего образования в отдельных субъектах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5 194,05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3 428,49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2 951,28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1 285,20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1 758,48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14 617,51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1.5.1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5 027,58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3 300,00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1 260,00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1 724,00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14 111,58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5 027,58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3 300,00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1 260,00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1 724,00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14 111,58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5 194,05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3 428,49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2 951,28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1 285,20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1 758,48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14 617,51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устойчивого развития сельских территорий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378,61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378,61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371,18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371,18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371,18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371,18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378,61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378,61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76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1.7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449,33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561,00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765,00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1 775,33</w:t>
            </w:r>
          </w:p>
        </w:tc>
      </w:tr>
      <w:tr w:rsidR="009937E7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440,52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1 740,52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440,52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1 740,52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449,33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561,00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765,00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1 775,33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9937E7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1547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сформированы методические рекомендации по системе функционирования психологических служб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общеобразовательных организациях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5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1.8.2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76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9937E7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282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1.10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овательных программ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300,80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300,80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300,80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902,41</w:t>
            </w:r>
          </w:p>
        </w:tc>
      </w:tr>
      <w:tr w:rsidR="009937E7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300,80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300,80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300,80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902,41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1.11.4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677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150,00</w:t>
            </w:r>
          </w:p>
        </w:tc>
      </w:tr>
      <w:tr w:rsidR="009937E7">
        <w:trPr>
          <w:trHeight w:hRule="exact" w:val="167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676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Обновлены федеральные государственные образовательные стандарты общего образования, в том числе требования к результатам освоения образовательной программы общего образования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формирования базовых знаний, умений и навыков, формализации "гибких 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тенций", и примерные основные общеобразовательные программы 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9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540,00</w:t>
            </w:r>
          </w:p>
        </w:tc>
      </w:tr>
      <w:tr w:rsidR="009937E7">
        <w:trPr>
          <w:trHeight w:hRule="exact" w:val="167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540,00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Российской Федерации ликвидировано обучение в 3-ю смену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10 928,83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8 604,39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9 092,73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4 141,00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3 672,36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8 447,64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44 886,95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10 800,00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8 500,00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4 100,00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3 636,00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8 364,00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44 400,00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10 800,00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8 500,00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4 100,00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3 636,00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8 364,00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44 400,00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10 928,83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8 604,39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9 092,73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4 141,00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3 672,36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8 447,64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44 886,95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1.15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обучающихся общеобразовательных организаций вовлечены в различные формы сопровождения и наставничества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1.15.1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</w:t>
            </w:r>
          </w:p>
        </w:tc>
      </w:tr>
      <w:tr w:rsidR="009937E7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1.15.2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1.15.3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1.15.4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203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176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1.17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31 424,63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31 506,92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189 231,55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</w:tr>
      <w:tr w:rsidR="009937E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</w:tr>
      <w:tr w:rsidR="009937E7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9937E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9937E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31 424,63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31 506,92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189 231,55</w:t>
            </w:r>
          </w:p>
        </w:tc>
      </w:tr>
      <w:tr w:rsidR="009937E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по федеральному проекту, в том числе: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56 014,96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51 457,31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51 783,99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44 970,60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44 465,44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44 422,24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293 114,56</w:t>
            </w:r>
          </w:p>
        </w:tc>
      </w:tr>
      <w:tr w:rsidR="009937E7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48 889,28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44 560,00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44 880,00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38 160,80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37 660,80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37 664,80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251 815,69</w:t>
            </w:r>
          </w:p>
        </w:tc>
      </w:tr>
      <w:tr w:rsidR="009937E7">
        <w:trPr>
          <w:trHeight w:hRule="exact" w:val="7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бюджетам субъекта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48 669,28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44 410,00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44 730,00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37 540,00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37 050,00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37 054,00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249 453,28</w:t>
            </w:r>
          </w:p>
        </w:tc>
      </w:tr>
      <w:tr w:rsidR="009937E7">
        <w:trPr>
          <w:trHeight w:hRule="exact" w:val="7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фондов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из них межбюджетные трансферты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бюджетам субъекта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консолидированные бюджеты субъектов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55 794,96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51 307,31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51 633,99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44 349,80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43 854,64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43 811,44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290 752,15</w:t>
            </w:r>
          </w:p>
        </w:tc>
      </w:tr>
      <w:tr w:rsidR="009937E7">
        <w:trPr>
          <w:trHeight w:hRule="exact" w:val="7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из них межбюджетные трансферты в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федеральный бюджет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</w:tr>
      <w:tr w:rsidR="009937E7"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 w:rsidR="009937E7" w:rsidRDefault="00EE3D4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42"/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Участники федерального проекта</w:t>
            </w:r>
          </w:p>
          <w:p w:rsidR="009937E7" w:rsidRDefault="009937E7"/>
        </w:tc>
      </w:tr>
      <w:tr w:rsidR="009937E7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проекте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</w:tr>
      <w:tr w:rsidR="009937E7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Обеспечена возможность изучать предметную область "Технология" и других предметных областей на базе организаций, имеющих высокооснащенные ученико-места , в т.ч. детских технопарков "Кванториум"</w:t>
            </w:r>
          </w:p>
          <w:p w:rsidR="009937E7" w:rsidRDefault="009937E7"/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Заместитель Министра науки и высшего образования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Н.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Кравцов С. С.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Четвертков А. Е.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оценки качества общего образования Министерство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Сильянов Е.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:rsidR="009937E7" w:rsidRDefault="009937E7"/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Сильянов Е.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защиты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прав детей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рофилей в общеобразовательных организациях, расположенных в сельской местности и малых городах</w:t>
            </w:r>
          </w:p>
          <w:p w:rsidR="009937E7" w:rsidRDefault="009937E7"/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рименением лучших практик обмена опытом между обучающимися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Н.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Кравцов С. С.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новые места в общеобразовательных организациях, расположенных в сельской местности и поселках городского типа</w:t>
            </w:r>
          </w:p>
          <w:p w:rsidR="009937E7" w:rsidRDefault="009937E7"/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Петрунина И.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управления имущественным комплексом и конкурсных процедур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Клочков О. И.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ФГБУ "Дирекция "Школа - 2025"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мероприятия по модернизации инфраструктуры общего образования в отдельных субъектах Российской Федерации</w:t>
            </w:r>
          </w:p>
          <w:p w:rsidR="009937E7" w:rsidRDefault="009937E7"/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Петрунина И.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управления имущественным комплексом и конкурсных процедур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Клочков О. И.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ФГБУ "Дирекция "Школа - 2025"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устойчивого развития сельских территорий </w:t>
            </w:r>
          </w:p>
          <w:p w:rsidR="009937E7" w:rsidRDefault="009937E7"/>
        </w:tc>
      </w:tr>
      <w:tr w:rsidR="009937E7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Боровой М.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развития сельских территорий Министерства сельского хозяйства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Патрушев Д. Н.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дерального округа </w:t>
            </w:r>
          </w:p>
          <w:p w:rsidR="009937E7" w:rsidRDefault="009937E7"/>
        </w:tc>
      </w:tr>
      <w:tr w:rsidR="009937E7">
        <w:trPr>
          <w:trHeight w:hRule="exact" w:val="124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Хацаев О. С.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Статс-секретарь-заместитель Министра Российской Федерации по делам Северного Кавказа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сформированы методические рекомендации по системе функционирования психологических служб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общеобразовательных организациях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Сильянов Е.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  <w:p w:rsidR="009937E7" w:rsidRDefault="009937E7"/>
        </w:tc>
      </w:tr>
      <w:tr w:rsidR="009937E7">
        <w:trPr>
          <w:trHeight w:hRule="exact" w:val="124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Н.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Кравцов С. С.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Четвертков А. Е.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твенной политики в сфере оценки качества общего образования Министерство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овательных программ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  <w:p w:rsidR="009937E7" w:rsidRDefault="009937E7"/>
        </w:tc>
      </w:tr>
      <w:tr w:rsidR="009937E7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Н.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Кравцов С. С.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Четвертков А. Е.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оценки качества общего образования Министерство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еднего профессионального и высшего образования, предприятий реального сектора экономики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стратегии, анализа, прогноза и проектной деятельности в сфере образования Министерства просвещения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Хлопотных М. Б.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развития педагогических кадров и контроля управления ресурсами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Обновлены федеральные государственные образовательные стандарты общего образования, в том числе требования к результатам освоения образовательной программы общего образования в части формирования базовых знаний, умений и навыков, формализации "гибких компе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тенций", и примерные основные общеобразовательные программы </w:t>
            </w:r>
          </w:p>
          <w:p w:rsidR="009937E7" w:rsidRDefault="009937E7"/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Четвертков А. Е.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оценки качества общего образования Министерство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24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Наумова Н.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Кравцов С. С.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Российской Федерации ликвидировано обучение в 3-ю смену </w:t>
            </w:r>
          </w:p>
          <w:p w:rsidR="009937E7" w:rsidRDefault="009937E7"/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Петрунина И.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управления имущественным комплексом и конкурсных процедур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Клочков О. И.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ФГБУ "Дирекция "Школа - 2025"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9937E7">
        <w:trPr>
          <w:trHeight w:hRule="exact" w:val="717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7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мониторинг внедрения обновленных примерных основных общеобразовательных программ, разработанных в рамках федерального проекта, во всех субъектах Российской Федерации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70% обучающихся общеобразовательных организаций вовлечены в различные формы сопровождения и наставничества</w:t>
            </w:r>
          </w:p>
          <w:p w:rsidR="009937E7" w:rsidRDefault="009937E7"/>
        </w:tc>
      </w:tr>
      <w:tr w:rsidR="009937E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  <w:p w:rsidR="009937E7" w:rsidRDefault="009937E7"/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Петрунина И.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управления имущественным комплексом и конкурсных процедур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Клочков О. И.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ФГБУ "Дирекция "Школа - 2025"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Построено и введено в эксплуатацию не менее 25 школ с привлечением частных инвестиций на условиях возвратного финансирования </w:t>
            </w:r>
          </w:p>
          <w:p w:rsidR="009937E7" w:rsidRDefault="009937E7"/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Петрунина И. А.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управления имущественным комплексом и конкурсных процедур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Клочков О. И.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ФГБУ "Дирекция "Школа - 2025"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Торосов И. Э.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Орешкин М. С.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9937E7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А. В.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Котяков А. О.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  <w:tc>
          <w:tcPr>
            <w:tcW w:w="28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9937E7">
        <w:trPr>
          <w:trHeight w:hRule="exact" w:val="559"/>
        </w:trPr>
        <w:tc>
          <w:tcPr>
            <w:tcW w:w="15618" w:type="dxa"/>
            <w:gridSpan w:val="45"/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6. Дополнительная информация</w:t>
            </w:r>
          </w:p>
        </w:tc>
      </w:tr>
      <w:tr w:rsidR="009937E7">
        <w:trPr>
          <w:trHeight w:hRule="exact" w:val="15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</w:tcPr>
          <w:p w:rsidR="009937E7" w:rsidRDefault="009937E7"/>
        </w:tc>
      </w:tr>
      <w:tr w:rsidR="009937E7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902" w:type="dxa"/>
            <w:gridSpan w:val="4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коррекцию нарушений развития и социальную адаптацию указанных лиц (часть 28 статьи 2 Федерального закона от 29 декабря 2012 г. № 273-ФЗ "Об образовании в Российской Федерации").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Высокооснащенные ученико-места - места обучения по 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уровень материально-технического оснащения которых, в том числе средствами обучения и воспитания, необходимыми для реализации образовательных программ, соответствует современным условиям обучения и превышает требования к условиям реализации таких програм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м, утвержденных в соответствии с федеральными государственными образовательными стандартами общего образования или иными нормативными правовыми актами.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"Гибкие компетенции" (как синонимы употребляются "мягкие навыки", "навыки 21 века", "универсальные комп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етентности", "4К") - совокупность неспециализированных (не связанных с конкретной предметной областью), надпрофессиональных знаний и навыков, позволяющих успешно решать жизненные и профессиональные задачи. Гибкие компетенции, в отличие от профессиональных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навыков в традиционном понимании, не зависят от специфики конкретной работы, тесно связаны с личностными качествами и установками (ответственность, дисциплина, самоменеджмент), а также социальными навыками (коммуникация, работа в команде, эмоциональный инт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еллект) и менеджерскими способностями (управление временем, лидерство, решение проблем, критическое мышление).Среди них выделяют (1) компетентность когнитивного решения проблем (аналитическое и креативное мышление), (2) компетентность взаимодействия с друг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ими людьми (работы в команде, коммуникация), (3) компетентность управления собой (саморегулирования и самоорганизации) направленных на развитие креативного, продуктового, критического и иных типов мышления, навыков работе в команде, коммуникации, и других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навыков, отвечающих за успешное участие в рабочем процессе и высокую производительность, не связаны с конкретной предметной областью.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Наставничество ("шефство") - метод обучения, при котором более опытный и компетентный участник образовательной деятельнос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 (наставник) помогает и направляет менее опытного участника при решении конкретных практических задач.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Наставники - представители работников промышленности, сельского хозяйства, транспорта, инженерно-технических работников, государственных и муниципальн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служащих, учителей, преподавателей и других работников образовательных организаций, врачей, работников культуры и деятелей искусства и др., оказывающие содействие молодым рабочим и специалистам, в т.ч. молодым представителям творческих профессий и други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гражданам (в настоящем федеральном проекте - обучающимся по общеобразовательным программам), в успешном овладении ими профессиональными знаниями, навыками и умениями, в их профессиональном становлении, в приобретении опыта работы по специальности, формир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овании у них практических знаний и навыков, в оказании постоянной и эффективной помощи молодым рабочим и специалистам в совершенствовании форм и методов работы, в проведении действенной работы по воспитанию молодых рабочих и специалистов, повышению их обще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ственной активности и формированию гражданской позиции.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Непрерывное образование - освоение совокупность механизмов, обеспечивающих возможность взрослыми гражданами обучаться по </w:t>
            </w:r>
          </w:p>
          <w:p w:rsidR="009937E7" w:rsidRDefault="009937E7"/>
        </w:tc>
      </w:tr>
      <w:tr w:rsidR="009937E7">
        <w:trPr>
          <w:trHeight w:hRule="exact" w:val="286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17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17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9937E7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902" w:type="dxa"/>
            <w:gridSpan w:val="4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образовательным программа всех уровней образования в течение на протяжении всей жизни основных образовательных программ и различных дополнительных образовательных программ, предоставление возможности одновременного освоения нескольких образовательных 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амм, а также учета имеющегося образования, квалификации, опыта практической деятельности при получении образования на основе использования системы государственных и общественных институтов и в соответствии с потребностями личности и общества (пункты 2 и 7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статьи 10 Федерального закона от 29 декабря 2012 г. № 273-ФЗ "Об образовании в Российской Федерации").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Предметная область "Технология" - одна из предметных областей основной общеобразовательной программы. "Технология" является основным интеграционным меха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низмом, позволяющим в процессе предметно-практической и проектно-технологической деятельности синтезировать естественнонаучные, научно-технические, технологические, предпринимательские гуманитарные знания. Предметная область "Технология" раскрывает способы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применения знаний в различных профессиональных областях деятельности человека и обеспечивает прагматическую (прикладную) направленность общего образования.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Современная школа - комплекс современных инфраструктурных решений, новых форм и методов обучения на основе лучших практик, позволяющие формировать социально зрелую личность, которая способна к самореализации в современном информационном обществе.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профиль (направленность) образовательной программы - ориентация образовательной программы на области знания и (или) виды деятельности в сфере цифровых технологий, определяющая ее предметно-тематическое содержание, преобладающие виды учебной деятельности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бучающегося и требования к результатам освоения образовательной программы.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"Современная школа" направлен на внедрение на уровнях основного общего и среднего общего образования новых методов обучения и воспитания, образовательных техноло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гий, обеспечивающих освоение обучающимися базовых навыков и умений, повышение их мотивации к обучению и вовлеченности в образовательную деятельность, а также обновление содержания и совершенствование методов обучения предметной области "Технология". Во все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 субъектах Российской Федерации будет обеспечена возможность изучать предметную область "Технология" на базе высокооснащенных организаций, в том числе в детских технопарках "Кванториум". Для учителей предметной области "Технология" во всех субъектах Росси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йской Федерации будут реализованы доступные программы повышения квалификации в детских технопарках "Кванториум", образовательных организациях высшего образования и профессиональных образовательных организациях.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реализации федерального проекта пла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нируется создать новые места в общеобразовательных организациях, в том числе отдельная финансовая поддержка субъектов Российской Федерации предусмотрена на создание новых мест в общеобразовательных организациях, расположенных в сельской местности, а также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полностью ликвидировать обучение в 3-ю смену, в не менее чем 800 организациях коррекционного типа предлагается внедрить современную образовательную среду, что позволит повысить мотивацию обучающихся  в освоении современных образовательных программ.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 снятия барьеров для обучения детей по индивидуальным образовательным планам на всей территории Российской Федерации планируется внесение изменения в Федеральный закон "Об образовании в Российской Федерации", в том числе школам будет предоставлено право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ривлечения специалистов из других сфер, студентов, аспирантов и специалистов из реального сектора экономики, не имеющих педагогического образования; в 16 тыс. школ в сельской местности и малых городах будет создана материально-технической база центров колл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ективного </w:t>
            </w:r>
          </w:p>
          <w:p w:rsidR="009937E7" w:rsidRDefault="009937E7"/>
        </w:tc>
      </w:tr>
      <w:tr w:rsidR="009937E7">
        <w:trPr>
          <w:trHeight w:hRule="exact" w:val="286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19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199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9937E7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902" w:type="dxa"/>
            <w:gridSpan w:val="4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пользования, а также будет создана сеть из 25 пилотных школ нового типа с привлечением негосударственных средств.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реализации федерального проекта планируются проведение апробаций примерных программ дополнительного профессионального образования для педагогов предметной области "Технология" и других предметных областей, включая астрономию, химию, биологию, орие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нтированных на использование потенциала и ресурсов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омики, а также платформенного решения,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целево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 модели психологического сопровождения обучающихся общеобразовательных организаций в субъектах Российской Федерации, целевой модели вовлечения общественно-деловых объединений и участия представителей работодателей в принятии решений по вопросам управления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развитием общеобразовательной организации, в том числе в обновлении образовательных программ. По итогам апробаций решение о дальнейшем внедрении и масштабировании будет приниматься проектным комитетом.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Также в целях обеспечения вхождения Российской Федер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ации в число 10 ведущих стран мира по качеству общего образования в рамках реализации федерального проекта планируется внедрить систему инструментов оценки качества общего образования по международным методикам исследований в разрезе субъектов Российской 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едерации.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реализуется в рамках подпрограммы "Содействие развитию дошкольного и общего образования" проектной части государственной программы "Развитие образования". Федеральный проект включает в себя продолжение реализации приоритетного проекта "С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оздание современной образовательной среды для школьников" (утв. Протоколом заседания президиума Совета при Президенте Российской Федерации по стратегическому развитию и приоритетным проектам от 25 октября 2016 г. № 9). В проекте отсутствуют мероприятия, 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впадающие по содержанию, срокам реализации, форме поддержки, виду расходом и составу исполнителей с мероприятиями, предусмотренными другими государственными программами Российской Федерации.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16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160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902" w:type="dxa"/>
            <w:gridSpan w:val="4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9937E7">
        <w:trPr>
          <w:trHeight w:hRule="exact" w:val="573"/>
        </w:trPr>
        <w:tc>
          <w:tcPr>
            <w:tcW w:w="11462" w:type="dxa"/>
            <w:gridSpan w:val="31"/>
          </w:tcPr>
          <w:p w:rsidR="009937E7" w:rsidRDefault="009937E7"/>
        </w:tc>
        <w:tc>
          <w:tcPr>
            <w:tcW w:w="4156" w:type="dxa"/>
            <w:gridSpan w:val="14"/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№2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федерального проекта</w:t>
            </w:r>
          </w:p>
        </w:tc>
      </w:tr>
      <w:tr w:rsidR="009937E7">
        <w:trPr>
          <w:trHeight w:hRule="exact" w:val="573"/>
        </w:trPr>
        <w:tc>
          <w:tcPr>
            <w:tcW w:w="11462" w:type="dxa"/>
            <w:gridSpan w:val="31"/>
          </w:tcPr>
          <w:p w:rsidR="009937E7" w:rsidRDefault="009937E7"/>
        </w:tc>
        <w:tc>
          <w:tcPr>
            <w:tcW w:w="4156" w:type="dxa"/>
            <w:gridSpan w:val="14"/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Современная школа</w:t>
            </w:r>
          </w:p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Показатели федерального проекта по субъектам Российской Федерации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 Процент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Дальневосточный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Еврейская автономная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Забайкальский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Камчатский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Магаданская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Бурятия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Саха (Якутия)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Сахалинская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Чукотский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Нижегородская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Оренбургская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Пензенская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Пермский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Башкортостан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Марий Эл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Мордовия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Татарстан (Татарстан)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Самарская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Саратовская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Удмуртская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Ульяновская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Чувашская Республика - Чувашия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Северо-Западный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Архангельская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Вологодская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Санкт-Петербург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Мурманская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Карелия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Коми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Кабардино-Балкарская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Карачаево-Черкесская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Дагестан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Северная Осетия - Алания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Ставропольский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Чеченская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Алтайский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Иркутская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Кемеровская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Красноярский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Новосибирская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Алтай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Тыва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Хакасия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Уральский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Курганская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Свердловская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Тюменская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Ханты-Мансийский автономный округ - Югра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Челябинская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Ямало-Ненецкий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Белгородская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Брянская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Воронежская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город федерального значения Москва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Костромская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Липецкая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Рязанская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Смоленская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Тамбовская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Ярославская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Южный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Астраханская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Волгоградская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Севастополь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Адыгея (Адыгея)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Калмыкия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Крым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974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тыс. единиц  Тысяча единиц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Дальневосточный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Еврейская автономная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0,0330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Забайкальский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Камчатский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Магаданская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Бурятия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Саха (Якутия)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0,0540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0,2470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Сахалинская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Чукотский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0,0410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Нижегородская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0,0460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Оренбургская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Пензенская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Пермский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0,2930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Башкортостан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0,1330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0,5320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0,7980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Марий Эл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Мордовия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0,0650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Татарстан (Татарстан)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Самарская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Саратовская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Удмуртская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Ульяновская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0,0290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0,0680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Чувашская Республика - Чувашия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Северо-Западный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Архангельская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0,0230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Вологодская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Санкт-Петербург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Ленинградская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Мурманская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0,0510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0,1210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Карелия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Коми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9937E7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Кабардино-Балкарская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0,0740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0,1320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Карачаево-Черкесская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Дагестан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0,3120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0,4570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0,7470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0,8900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Северная Осетия - Алания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0,1120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Ставропольский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0,1170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Чеченская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0,0830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0,3400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0,3750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0,3750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Алтайский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0,0310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Иркутская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0,1140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0,1140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0,1140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Кемеровская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0,0950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Красноярский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Новосибирская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0,1440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Алтай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Тыва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Хакасия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0,0930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0,0290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Уральский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Курганская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Свердловская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0,0570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0,1040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0,1040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Тюменская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Ханты-Мансийский автономный округ - Югра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0,1920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Челябинская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Ямало-Ненецкий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0,0660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</w:tr>
      <w:tr w:rsidR="009937E7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Белгородская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0,2230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Брянская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0,2070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Воронежская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0,0630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0,2100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Москва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0,0920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Костромская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0,0940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0,3050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Липецкая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0,1320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Рязанская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9937E7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Смоленская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0,2120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Тамбовская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0,0290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Ярославская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Южный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Астраханская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Волгоградская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0,0560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0,1900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Севастополь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0,1530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0,4750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0,5700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Адыгея (Адыгея)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Калмыкия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0,1240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Крым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0,4040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0,5040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7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 Тысяча человек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Дальневосточный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Еврейская автономная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3,1500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5,3200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8,4100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9,4400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Забайкальский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Камчатский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0,3240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0,6620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1,3380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1,6760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Магаданская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1,0420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2,6510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3,2520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4,1870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4,6230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5,1680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7,6000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11,6000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15,6000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21,6000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25,6000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Бурятия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Саха (Якутия)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10,8160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16,7230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25,4070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32,2690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36,7820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40,7370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Сахалинская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4,4000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9,7000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5,6000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10,3000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26,0000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Чукотский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2,1400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5,7900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7,2000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2,6000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5,7000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9,2000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16,7000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Нижегородская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2,7600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6,3000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9,9000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Оренбургская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Пензенская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3,1500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7,3500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9,4500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Пермский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5,3200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8,3400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11,9160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15,4900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19,0650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21,4450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Башкортостан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Марий Эл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5,0970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17,3580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17,4180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18,3030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18,8910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19,9660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Мордовия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10,4000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15,9000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49,6000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Татарстан (Татарстан)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26,5680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Самарская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Саратовская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Удмуртская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Ульяновская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Чувашская Республика - Чувашия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26,0000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Северо-Западный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Архангельская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Вологодская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0,9100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2,0300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2,4500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2,6600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Санкт-Петербург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5,4000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8,8000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30,4000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36,8000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3,4000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3,6000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3,8000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Мурманская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3,5100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3,5900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3,6200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3,6500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5,5070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27,5000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Карелия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Коми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12,4000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18,3000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36,3000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37,0000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Кабардино-Балкарская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15,6000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28,8000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35,4000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39,6000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Карачаево-Черкесская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7,2000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31,5000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Дагестан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29,7000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157,5000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1,6000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3,6000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4,4000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Северная Осетия - Алания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7,9080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15,6290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25,1090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36,6970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40,8690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43,0650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Ставропольский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10,9000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11,6000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11,9000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12,3000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12,6000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Чеченская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220,0000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Алтайский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1,9000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8,4000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Иркутская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21,8000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40,8000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59,8000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59,8000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Кемеровская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8,3000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32,7000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32,7000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46,3000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Красноярский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7,5000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Новосибирская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1,8000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8,5000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4,3800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5,1700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8,7700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10,2600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13,6000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15,3800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Алтай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5,7000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10,8000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10,8000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Тыва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6,3000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8,8200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11,1400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13,5050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16,1350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18,5300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Хакасия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6,8330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12,5230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23,8610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37,5560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47,8020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26,5000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Уральский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Курганская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16,5000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Свердловская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2,8500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10,4000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10,4000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10,4000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Тюменская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Ханты-Мансийский автономный округ - Югра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86,3000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Челябинская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Ямало-Ненецкий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3,6000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6,8000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9,2000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66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Белгородская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24,3350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44,8930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64,3690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83,3040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102,2390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120,6330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Брянская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6,7500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12,1500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17,5500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24,3000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8,5600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17,1200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25,6800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34,2400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51,3600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Воронежская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Москва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26,0000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Костромская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11,2000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19,4000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27,3000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36,7000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Липецкая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3,3650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6,7300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9,4220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12,1440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14,8360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17,5280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Рязанская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2,7000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3,7000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Смоленская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1,6000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2,6000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Тамбовская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1,9000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2,7500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10,3500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12,7500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14,3000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0,5400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0,8500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9,6000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15,6000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Ярославская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7,7000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Южный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Астраханская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8,4000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11,8000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18,6000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25,4000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Волгоградская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9,5000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Севастополь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1,9000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38,5000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Адыгея (Адыгея)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Калмыкия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17,2000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Крым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23,2000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37,5000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46,8000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созданных новых мест в общеобразовательных организациях, расположенных в сельской местности и поселках городского типа, не менее тыс. мест  Тысяча мест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Дальневосточный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Еврейская автономная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Забайкальский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0,2310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0,2310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0,4810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0,4810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0,4810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Камчатский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0,4700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0,4700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Бурятия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1,7140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1,7140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1,7140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1,7890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1,7890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Саха (Якутия)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0,3960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0,4400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Чукотский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Нижегородская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</w:t>
            </w:r>
          </w:p>
        </w:tc>
      </w:tr>
      <w:tr w:rsidR="009937E7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Оренбургская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0,2640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0,4140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0,9140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0,9140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1,0040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1,0040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Пензенская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Башкортостан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Марий Эл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Мордовия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Татарстан (Татарстан)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Саратовская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Удмуртская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0,6600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1,1600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1,3600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Чувашская Республика - Чувашия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Северо-Западный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Архангельская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0,4400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Вологодская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Калининградская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Ненецкий автономный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Новгородская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Кабардино-Балкарская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Карачаево-Черкесская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Дагестан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2,2800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2,8620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4,1680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4,1680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4,1680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4,1680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1,6900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5,2900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5,2900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5,2900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Северная Осетия - Алания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1,0600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Ставропольский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Чеченская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4,4200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4,4200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6,5800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Алтайский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0,2900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Кемеровская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0,4150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0,4150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0,4150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Красноярский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Новосибирская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Алтай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0,3300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Тыва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0,1760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0,3520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0,3520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Хакасия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Уральский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Курганская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0,4300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0,3150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1,4150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1,4150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1,4150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1,4150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1,4150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Свердловская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Тюменская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Белгородская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Воронежская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1,2600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1,2600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Калужская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1,0700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1,0700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Костромская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Липецкая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Московская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Рязанская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0,3820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0,3820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0,3820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0,3820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0,5020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Тамбовская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Тульская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Ярославская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Южный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Астраханская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1,0200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1,0200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1,0200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1,0200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Волгоградская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1,5700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1,5700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</w:t>
            </w:r>
          </w:p>
        </w:tc>
      </w:tr>
      <w:tr w:rsidR="009937E7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9937E7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9937E7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Адыгея (Адыгея)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</w:tr>
      <w:tr w:rsidR="009937E7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Калмыкия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Крым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1,3500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Ростовская область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ликвидировано обучение в 3-ю смену, процент Процент</w:t>
            </w:r>
          </w:p>
        </w:tc>
      </w:tr>
      <w:tr w:rsidR="009937E7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Дальневосточный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Бурятия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95,3000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</w:tr>
      <w:tr w:rsidR="009937E7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Дагестан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95,3000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95,3000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</w:tr>
      <w:tr w:rsidR="009937E7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Чеченская Республика</w:t>
            </w:r>
          </w:p>
          <w:p w:rsidR="009937E7" w:rsidRDefault="009937E7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95,3000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shd w:val="clear" w:color="auto" w:fill="auto"/>
            <w:vAlign w:val="bottom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9937E7">
        <w:trPr>
          <w:trHeight w:hRule="exact" w:val="716"/>
        </w:trPr>
        <w:tc>
          <w:tcPr>
            <w:tcW w:w="15618" w:type="dxa"/>
            <w:gridSpan w:val="45"/>
            <w:shd w:val="clear" w:color="auto" w:fill="auto"/>
            <w:tcMar>
              <w:top w:w="287" w:type="dxa"/>
            </w:tcMar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Современная школа</w:t>
            </w:r>
          </w:p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ab/>
              <w:t>Модель функционирования результатов и достижения показателей федерального проекта</w:t>
            </w:r>
          </w:p>
        </w:tc>
      </w:tr>
      <w:tr w:rsidR="009937E7">
        <w:trPr>
          <w:trHeight w:hRule="exact" w:val="1605"/>
        </w:trPr>
        <w:tc>
          <w:tcPr>
            <w:tcW w:w="15618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"Современная школа" направлен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 их мотивации к обучению и вовлеченности в образовательный процесс, а также обновление содержания и совершенствование методов обучения 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и других предметных областей.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184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 реализации настоящего федерального проекта окажут существенное влияние на модернизацию системы общего образования, повышение уровня общего образования в Российской Федерации, а также обеспечат условия для глобальной конкурентоспособности российс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кого образования, высокого качества обучения, улучшение качества жизни в каждом регионе.</w:t>
            </w:r>
          </w:p>
          <w:p w:rsidR="009937E7" w:rsidRDefault="009937E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>
            <w:pPr>
              <w:spacing w:line="184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9937E7"/>
        </w:tc>
      </w:tr>
      <w:tr w:rsidR="009937E7">
        <w:trPr>
          <w:trHeight w:hRule="exact" w:val="1590"/>
        </w:trPr>
        <w:tc>
          <w:tcPr>
            <w:tcW w:w="15618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574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ab/>
              <w:t>Методика расчета показателей федерального проекта</w:t>
            </w:r>
          </w:p>
        </w:tc>
      </w:tr>
      <w:tr w:rsidR="009937E7">
        <w:trPr>
          <w:trHeight w:hRule="exact" w:val="85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702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показатель: Средневзвешенный результат Российской Федерации в группе международных исследований, средневзвешенное место Российской Федерации (не ниже)</w:t>
            </w:r>
          </w:p>
        </w:tc>
      </w:tr>
      <w:tr w:rsidR="009937E7">
        <w:trPr>
          <w:trHeight w:hRule="exact" w:val="71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Средневзвешенный результат Российской Федерации в группе международных исследований, место Российской Федерации (не ниже)</w:t>
            </w: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Fоо - Средневзвешенный результат Российской Федерации в группе международных исследований, МЕСТ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Международные исследования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служба по надзору в сфере образования и науки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 1 июня, следующего за отчетным годом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37E7" w:rsidRDefault="00EE3D4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E7">
        <w:trPr>
          <w:trHeight w:hRule="exact" w:val="166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FОО - Средневзвешенный результат Российской Федерации в группе международных 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</w:tr>
      <w:tr w:rsidR="009937E7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исследований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Xi – место Российской Федерации в i-ом исследовании: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X1: PIRLS (4 класс) по качеству чтения и понимания текста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X2: TIMSS (4 класс) по математическому направлению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X3: TIMSS (4 класс) по естественно-научному направлению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X4: TIMSS (8 класс) по математическому направлению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X5: TIMSS (8 класс) по естественно-научному направлению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X6: PISA по направлению читательская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рамотность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X7: PISA по направлению математическая </w:t>
            </w:r>
          </w:p>
        </w:tc>
      </w:tr>
      <w:tr w:rsidR="009937E7">
        <w:trPr>
          <w:trHeight w:hRule="exact" w:val="285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85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9937E7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/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грамотность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X8: PISA по направлению естественнонаучная грамотность</w:t>
            </w:r>
          </w:p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Ai – весовой коэффициент.    </w:t>
            </w:r>
          </w:p>
        </w:tc>
      </w:tr>
      <w:tr w:rsidR="009937E7">
        <w:trPr>
          <w:trHeight w:hRule="exact" w:val="702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показатель: 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</w:t>
            </w:r>
          </w:p>
        </w:tc>
      </w:tr>
      <w:tr w:rsidR="009937E7">
        <w:trPr>
          <w:trHeight w:hRule="exact" w:val="71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обновлено содержание и методы обучения предметной области "Технология" , процент</w:t>
            </w: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 25 марта года, следующего за отчетным годом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37E7" w:rsidRDefault="00EE3D4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E7">
        <w:trPr>
          <w:trHeight w:hRule="exact" w:val="22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X- число субъектов Российской Федерации, в которых обновлено содержание и методы обучения предметной области "Технология" и других предметных областей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9937E7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96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Дополнительный показатель: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го и гуманитарного профилей, тыс. единиц </w:t>
            </w:r>
          </w:p>
        </w:tc>
      </w:tr>
      <w:tr w:rsidR="009937E7">
        <w:trPr>
          <w:trHeight w:hRule="exact" w:val="71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Число общеобразовательных организаций, расположенных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тыс. единиц нарастающим итогом к 2018 году</w:t>
            </w: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 25 марта года,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следующего за отчетным годом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37E7" w:rsidRDefault="00EE3D44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29055" cy="457583"/>
                  <wp:effectExtent l="0" t="0" r="0" b="0"/>
                  <wp:docPr id="4" name="Picture 3" descr="Image0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E7">
        <w:trPr>
          <w:trHeight w:hRule="exact" w:val="220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Xi-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илей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i-ом субъекте Российской Федерации</w:t>
            </w:r>
          </w:p>
        </w:tc>
      </w:tr>
      <w:tr w:rsidR="009937E7">
        <w:trPr>
          <w:trHeight w:hRule="exact" w:val="21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9937E7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702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Дополнительный показатель: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</w:t>
            </w:r>
          </w:p>
        </w:tc>
      </w:tr>
      <w:tr w:rsidR="009937E7">
        <w:trPr>
          <w:trHeight w:hRule="exact" w:val="71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обучающихся, охваченных реализацией основными и дополнительными общеобразовательными программами цифрового, естественнонаучного и гуманитарного профилей, тыс. человек нарастающим итогом к 2018 году</w:t>
            </w: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 25 марта года, следующего за отчетн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ым годом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37E7" w:rsidRDefault="00EE3D4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5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E7">
        <w:trPr>
          <w:trHeight w:hRule="exact" w:val="280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Yi- число обучающихся, охваченных реализацией основными и дополнительными общеобразовательными программами цифрового, естественнонаучного и гуманитарного профилей в i-ом субъекте Российской Федерации</w:t>
            </w:r>
          </w:p>
        </w:tc>
      </w:tr>
      <w:tr w:rsidR="009937E7">
        <w:trPr>
          <w:trHeight w:hRule="exact" w:val="702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Дополнительный показатель: Число созданных новых мест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общеобразовательных организациях, расположенных в сельской местности и поселках городского типа, не менее тыс. мест </w:t>
            </w:r>
          </w:p>
        </w:tc>
      </w:tr>
      <w:tr w:rsidR="009937E7">
        <w:trPr>
          <w:trHeight w:hRule="exact" w:val="71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Число созданных новых мест в общеобразовательных организациях, расположенных в сельской местности и поселках городского типа, </w:t>
            </w: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Муниципальные образования субъектов РФ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 25 марта года, следующего за отчетным годом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37E7" w:rsidRDefault="00EE3D4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6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E7">
        <w:trPr>
          <w:trHeight w:hRule="exact" w:val="146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Zi- число новых мест в общеобразовательных организациях, расположенных в сельской местности и поселках городского типа в i-ом субъекте Российской Федерации (нарастающим итогом с 2019 года), созданных в </w:t>
            </w:r>
          </w:p>
        </w:tc>
      </w:tr>
      <w:tr w:rsidR="009937E7">
        <w:trPr>
          <w:trHeight w:hRule="exact" w:val="146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9937E7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рамках в рамках национального проекта "Образование", в том числе мероприятий по модернизации инфраструктуры общего образования в отдельных субъектах Российской Федерации, в том числе в рамках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устойчивого развития сельских территорий и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ий по социально-экономическому развитию субъектов Российской Федерации, входящих в состав Северо-Кавказского федерального округа, мероприятий по созданию новых мест в общеобразовательных организациях, расположенных в сельской местности и поселках городског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 типа, мероприятий по созданию новых мест в общеобразовательных организациях </w:t>
            </w:r>
          </w:p>
        </w:tc>
      </w:tr>
      <w:tr w:rsidR="009937E7">
        <w:trPr>
          <w:trHeight w:hRule="exact" w:val="285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285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9937E7">
        <w:trPr>
          <w:trHeight w:hRule="exact" w:val="85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9937E7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149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/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(продолжение реализации приоритетного проекта "Современная образовательная среда для школьников")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Дополнительный показатель: Доля субъектов Российской Федерации, в которых ликвидировано обучение в 3-ю смену, процент</w:t>
            </w:r>
          </w:p>
        </w:tc>
      </w:tr>
      <w:tr w:rsidR="009937E7">
        <w:trPr>
          <w:trHeight w:hRule="exact" w:val="71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  <w:p w:rsidR="009937E7" w:rsidRDefault="009937E7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субъектов Российской Федерации, в которых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ликвидировано обучение в 3-ю смену, процент</w:t>
            </w:r>
          </w:p>
        </w:tc>
        <w:tc>
          <w:tcPr>
            <w:tcW w:w="243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9937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</w:t>
            </w:r>
          </w:p>
        </w:tc>
        <w:tc>
          <w:tcPr>
            <w:tcW w:w="171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 25 марта года,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следующего за отчетным годом</w:t>
            </w:r>
          </w:p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37E7" w:rsidRDefault="00EE3D44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29055" cy="456945"/>
                  <wp:effectExtent l="0" t="0" r="0" b="0"/>
                  <wp:docPr id="7" name="Picture 6" descr="Image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E7">
        <w:trPr>
          <w:trHeight w:hRule="exact" w:val="123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937E7" w:rsidRDefault="009937E7"/>
        </w:tc>
        <w:tc>
          <w:tcPr>
            <w:tcW w:w="2866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Оi - Численность обучающихся в 3-ю смену в i-ом субъекте Российской Федерации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937E7">
        <w:trPr>
          <w:trHeight w:hRule="exact" w:val="573"/>
        </w:trPr>
        <w:tc>
          <w:tcPr>
            <w:tcW w:w="15618" w:type="dxa"/>
            <w:gridSpan w:val="4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ab/>
              <w:t>Финансовое обеспечение реализации федерального проекта по субъектам Российской Федерации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Центральный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6 109,42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6 238,00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1 162,90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13 510,32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6 109,42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5 733,11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777,84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12 620,37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504,89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385,06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889,95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Белгородская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475,40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471,34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114,56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1 061,30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475,40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471,34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114,56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1 061,30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Брянская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458,39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521,23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979,62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458,39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521,23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979,62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Владимирская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413,46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386,89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800,35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413,46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386,89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800,35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Воронежская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516,08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399,89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108,79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1 024,76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516,08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399,89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108,79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1 024,76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264,27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443,93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808,20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264,27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119,85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384,12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324,08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424,08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Калужская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329,94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290,32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620,26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329,94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290,32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620,26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Костромская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471,65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389,78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861,43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471,65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389,78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861,43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422,67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363,02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264,80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1 050,50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422,67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363,02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264,80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1 050,50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Липецкая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320,65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402,68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723,33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320,65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402,68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723,33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Московская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390,26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392,57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285,06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1 067,88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390,26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211,75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602,01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180,81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285,06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465,87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56,35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146,03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202,38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56,35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146,03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202,38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Рязанская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311,98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399,89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711,87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311,98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399,89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711,87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Смоленская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344,29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386,68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730,97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344,29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386,68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730,97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Тамбовская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410,25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499,31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143,66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1 053,22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410,25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499,31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143,66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1 053,22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Тверская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506,31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440,91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947,22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506,31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440,91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947,22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Тульская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221,70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426,11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221,70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426,11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Ярославская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195,76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440,94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195,76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440,94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Северо-Западный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4 968,73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4 097,36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9 398,54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3 502,11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3 744,95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7 247,06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1 466,62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352,41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2 151,48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Карелия,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621,42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1 236,05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2 189,92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621,42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1 025,17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1 646,59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210,88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332,45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543,33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Коми,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282,42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462,33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282,42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462,33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Архангельская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455,13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466,41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921,54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455,13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466,41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921,54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Вологодская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1 385,94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243,07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1 629,01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421,94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243,07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665,01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964,00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964,00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Калининградская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553,48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405,39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958,87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553,48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405,39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958,87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Ленинградская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571,52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571,52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Мурманская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269,65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720,36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269,65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720,36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Новгородская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303,52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419,46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722,98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237,74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345,76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583,50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139,48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Псковская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408,15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444,86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853,01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340,31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377,03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717,34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67,83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67,83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135,67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Ненецкий автономный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369,00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369,00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369,00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369,00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Южный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4 284,79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3 592,93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492,69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8 370,41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3 690,93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3 348,25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492,69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7 531,88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593,86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244,68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838,54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Адыгея (Адыгея),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568,40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531,85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1 100,25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568,40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531,85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1 100,25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Калмыкия,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531,61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268,34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799,95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531,61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268,34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799,95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Краснодарский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1 269,88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842,52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126,02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2 238,42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676,02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597,84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126,02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1 399,89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593,86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244,68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838,54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Астраханская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430,50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127,61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933,14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430,50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127,61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933,14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Волгоградская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383,08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207,44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720,42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383,08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207,44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720,42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359,44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457,27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109,16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925,87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359,44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457,27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109,16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925,87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Крым,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574,48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482,48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1 056,97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574,48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482,48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1 056,97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 федерального значения Севастополь,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222,88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372,53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595,40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222,88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372,53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595,40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Северо-Кавказский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13 449,24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9 857,79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9 297,79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32 604,82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12 853,31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9 381,23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8 927,16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31 161,71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595,93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476,56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370,63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1 443,11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Республика Дагестан,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4 392,28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2 928,94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1 466,04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8 787,26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4 382,41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2 928,94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1 466,04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8 777,38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9,87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9,87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Ингушетия,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1 291,39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1 492,58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4 343,06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7 127,03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1 291,39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1 492,58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4 343,06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7 127,03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Кабардино-Балкарская Республика,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576,05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382,67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958,73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576,05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382,67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958,73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Карачаево-Черкесская Республика,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302,78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103,69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652,20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302,78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103,69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652,20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Северная Осетия - Алания,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856,72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370,63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1 947,37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374,18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479,13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853,31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345,84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377,59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370,63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1 094,06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Чеченская Республика,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5 209,21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3 412,15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3 014,37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11 635,73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5 209,21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3 412,15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3 014,37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11 635,73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Ставропольский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1 014,56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481,95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1 496,51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774,35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382,98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1 157,33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240,21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98,97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339,18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Приволжский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6 800,43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4 942,34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656,62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12 399,38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6 024,23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4 811,39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450,18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11 285,80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776,20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206,44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1 113,58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Башкортостан,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831,20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507,95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1 339,15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831,20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507,95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1 339,15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Марий Эл,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251,76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338,39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681,23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251,76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338,39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681,23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Республика Мордовия,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290,12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476,89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290,12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476,89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Татарстан (Татарстан),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492,96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286,46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779,42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492,96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286,46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779,42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Удмуртская Республика,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486,03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205,87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691,90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486,03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205,87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691,90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Чувашская Республика - Чувашия,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684,23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771,20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1 569,71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684,23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771,20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114,28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1 569,71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Кировская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462,84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421,29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884,13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462,84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421,29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884,13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Нижегородская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558,01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470,99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1 029,00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558,01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470,99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1 029,00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Оренбургская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253,53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471,73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206,44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931,70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253,53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340,79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594,32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206,44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337,38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Пензенская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382,46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402,06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244,81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1 029,34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382,46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402,06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244,81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1 029,34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Пермский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368,53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316,32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684,85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368,53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316,32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684,85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Самарская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373,86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188,31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562,17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373,86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188,31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562,17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Саратовская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1 153,21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119,06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1 272,26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377,01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119,06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496,06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776,20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776,20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Ульяновская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152,59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467,62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152,59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467,62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Уральский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1 744,40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1 531,99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3 276,39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1 714,40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1 531,99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3 246,39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Курганская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595,12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427,16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1 022,28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595,12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427,16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1 022,28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Свердловская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426,63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293,59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720,22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426,63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293,59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720,22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Тюменская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121,83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294,91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121,83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294,91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Челябинская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324,08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699,13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324,08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699,13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Ханты-Мансийский автономный округ - Югра,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162,47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271,55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434,02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162,47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271,55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434,02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Ямало-Ненецкий автономный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105,83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75,83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Сибирский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6 734,01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5 539,42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1 721,56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13 995,00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5 127,93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3 948,91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216,14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9 292,98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1 606,08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1 590,51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1 505,43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4 702,02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Алтай,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314,74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157,07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471,81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314,74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157,07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471,81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Тыва,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727,12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395,63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1 122,75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727,12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395,63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1 122,75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Хакасия,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1 092,66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568,90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1 661,57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442,04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311,88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753,92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650,62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257,03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907,65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Алтайский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507,70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240,36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748,05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507,70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240,36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748,05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Красноярский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465,52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430,03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975,54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465,52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430,03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975,54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Иркутская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625,39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481,95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1 107,35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625,39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481,95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1 107,35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Кемеровская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1 593,45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1 337,09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838,88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3 769,42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637,99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426,40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1 064,40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955,46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910,69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838,88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2 705,02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Новосибирская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375,29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346,68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721,96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375,29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346,68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721,96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464,78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1 188,14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802,71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2 455,63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464,78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765,34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136,16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1 366,28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422,80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666,55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1 089,35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Томская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567,36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393,56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960,93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567,36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393,56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960,93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Дальневосточный федеральный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4 214,22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4 000,17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1 135,98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9 350,38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4 178,85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4 000,17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1 135,98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9 315,00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35,38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35,38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Бурятия,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2 422,48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2 041,45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4 640,46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2 422,48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2 041,45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4 640,46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Республика Саха (Якутия),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316,30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245,55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379,12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940,96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316,30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245,55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379,12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940,96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Приморский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418,01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418,01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Хабаровский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360,76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336,27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697,03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325,39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336,27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661,65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lastRenderedPageBreak/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35,38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35,38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Амурская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381,43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123,81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828,78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381,43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123,81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828,78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Камчатский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19,94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19,94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19,94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Магаданская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131,90</w:t>
            </w:r>
          </w:p>
        </w:tc>
      </w:tr>
      <w:tr w:rsidR="009937E7">
        <w:trPr>
          <w:trHeight w:hRule="exact" w:val="429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131,90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29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Сахалинская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193,83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327,83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193,83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327,83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Забайкальский край,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425,08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459,69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146,17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1 030,94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425,08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459,69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146,17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1 030,94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430"/>
        </w:trPr>
        <w:tc>
          <w:tcPr>
            <w:tcW w:w="15618" w:type="dxa"/>
            <w:gridSpan w:val="4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0029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Всего, (млн. рублей)</w:t>
            </w:r>
          </w:p>
        </w:tc>
      </w:tr>
      <w:tr w:rsidR="009937E7">
        <w:trPr>
          <w:trHeight w:hRule="exact" w:val="286"/>
        </w:trPr>
        <w:tc>
          <w:tcPr>
            <w:tcW w:w="386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9937E7"/>
        </w:tc>
      </w:tr>
      <w:tr w:rsidR="009937E7">
        <w:trPr>
          <w:trHeight w:hRule="exact" w:val="28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Еврейская автономная область,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4,04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4,04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Чукотский автономный округ, в том числе: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157,55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152,93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310,48</w:t>
            </w:r>
          </w:p>
        </w:tc>
      </w:tr>
      <w:tr w:rsidR="009937E7">
        <w:trPr>
          <w:trHeight w:hRule="exact" w:val="430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157,55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152,93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310,48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7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937E7">
        <w:trPr>
          <w:trHeight w:hRule="exact" w:val="716"/>
        </w:trPr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15" w:type="dxa"/>
              <w:right w:w="72" w:type="dxa"/>
            </w:tcMar>
          </w:tcPr>
          <w:p w:rsidR="009937E7" w:rsidRDefault="00EE3D4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из них межбюджетные трансферты бюджетам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37E7" w:rsidRDefault="00EE3D4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</w:tbl>
    <w:p w:rsidR="00EE3D44" w:rsidRDefault="00EE3D44"/>
    <w:sectPr w:rsidR="00EE3D44">
      <w:pgSz w:w="16834" w:h="11909" w:orient="landscape"/>
      <w:pgMar w:top="1134" w:right="576" w:bottom="526" w:left="576" w:header="1134" w:footer="5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E7"/>
    <w:rsid w:val="009937E7"/>
    <w:rsid w:val="00E34816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9C350-F858-4B82-8C36-62842C5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23726</Words>
  <Characters>135243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FP_Sovremennaya_shkola</vt:lpstr>
    </vt:vector>
  </TitlesOfParts>
  <Company>Stimulsoft Reports 2018.2.2 from 26 April 2018</Company>
  <LinksUpToDate>false</LinksUpToDate>
  <CharactersWithSpaces>158652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FP_Sovremennaya_shkola</dc:title>
  <dc:subject>FP_Sovremennaya_shkola</dc:subject>
  <dc:creator>User</dc:creator>
  <cp:keywords/>
  <dc:description/>
  <cp:lastModifiedBy>User</cp:lastModifiedBy>
  <cp:revision>2</cp:revision>
  <dcterms:created xsi:type="dcterms:W3CDTF">2019-04-09T08:38:00Z</dcterms:created>
  <dcterms:modified xsi:type="dcterms:W3CDTF">2019-04-09T08:38:00Z</dcterms:modified>
</cp:coreProperties>
</file>