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573"/>
        <w:gridCol w:w="143"/>
        <w:gridCol w:w="144"/>
        <w:gridCol w:w="143"/>
        <w:gridCol w:w="2149"/>
        <w:gridCol w:w="717"/>
        <w:gridCol w:w="286"/>
        <w:gridCol w:w="287"/>
        <w:gridCol w:w="143"/>
        <w:gridCol w:w="430"/>
        <w:gridCol w:w="286"/>
        <w:gridCol w:w="717"/>
        <w:gridCol w:w="286"/>
        <w:gridCol w:w="430"/>
        <w:gridCol w:w="430"/>
        <w:gridCol w:w="287"/>
        <w:gridCol w:w="143"/>
        <w:gridCol w:w="143"/>
        <w:gridCol w:w="430"/>
        <w:gridCol w:w="716"/>
        <w:gridCol w:w="144"/>
        <w:gridCol w:w="286"/>
        <w:gridCol w:w="143"/>
        <w:gridCol w:w="144"/>
        <w:gridCol w:w="430"/>
        <w:gridCol w:w="143"/>
        <w:gridCol w:w="143"/>
        <w:gridCol w:w="143"/>
        <w:gridCol w:w="430"/>
        <w:gridCol w:w="144"/>
        <w:gridCol w:w="429"/>
        <w:gridCol w:w="144"/>
        <w:gridCol w:w="143"/>
        <w:gridCol w:w="573"/>
        <w:gridCol w:w="143"/>
        <w:gridCol w:w="144"/>
        <w:gridCol w:w="143"/>
        <w:gridCol w:w="143"/>
        <w:gridCol w:w="430"/>
        <w:gridCol w:w="287"/>
        <w:gridCol w:w="286"/>
        <w:gridCol w:w="287"/>
        <w:gridCol w:w="143"/>
        <w:gridCol w:w="287"/>
        <w:gridCol w:w="988"/>
        <w:gridCol w:w="15"/>
      </w:tblGrid>
      <w:tr>
        <w:trPr>
          <w:trHeight w:hRule="exact" w:val="860"/>
        </w:trPr>
        <w:tc>
          <w:tcPr>
            <w:tcW w:w="15618" w:type="dxa"/>
            <w:gridSpan w:val="46"/>
          </w:tcPr>
          <w:p/>
        </w:tc>
      </w:tr>
      <w:tr>
        <w:trPr>
          <w:trHeight w:hRule="exact" w:val="387"/>
        </w:trPr>
        <w:tc>
          <w:tcPr>
            <w:tcW w:w="15618" w:type="dxa"/>
            <w:gridSpan w:val="46"/>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П А С П О Р Т</w:t>
            </w:r>
          </w:p>
        </w:tc>
      </w:tr>
      <w:tr>
        <w:trPr>
          <w:trHeight w:hRule="exact" w:val="43"/>
        </w:trPr>
        <w:tc>
          <w:tcPr>
            <w:tcW w:w="15618" w:type="dxa"/>
            <w:gridSpan w:val="46"/>
          </w:tcPr>
          <w:p/>
        </w:tc>
      </w:tr>
      <w:tr>
        <w:trPr>
          <w:trHeight w:hRule="exact" w:val="386"/>
        </w:trPr>
        <w:tc>
          <w:tcPr>
            <w:tcW w:w="15618" w:type="dxa"/>
            <w:gridSpan w:val="46"/>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федерального проекта</w:t>
            </w:r>
          </w:p>
        </w:tc>
      </w:tr>
      <w:tr>
        <w:trPr>
          <w:trHeight w:hRule="exact" w:val="43"/>
        </w:trPr>
        <w:tc>
          <w:tcPr>
            <w:tcW w:w="15618" w:type="dxa"/>
            <w:gridSpan w:val="46"/>
          </w:tcPr>
          <w:p/>
        </w:tc>
      </w:tr>
      <w:tr>
        <w:trPr>
          <w:trHeight w:hRule="exact" w:val="573"/>
        </w:trPr>
        <w:tc>
          <w:tcPr>
            <w:tcW w:w="15618" w:type="dxa"/>
            <w:gridSpan w:val="46"/>
            <w:tcMar>
              <w:left w:w="72" w:type="dxa"/>
              <w:right w:w="72" w:type="dxa"/>
            </w:tcMar>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Молодые профессионалы (Повышение конкурентоспособности профессионального образования)</w:t>
            </w:r>
          </w:p>
        </w:tc>
      </w:tr>
      <w:tr>
        <w:trPr>
          <w:trHeight w:hRule="exact" w:val="717"/>
        </w:trPr>
        <w:tc>
          <w:tcPr>
            <w:tcW w:w="15618" w:type="dxa"/>
            <w:gridSpan w:val="46"/>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1. Основные положения</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национального проекта</w:t>
            </w:r>
          </w:p>
        </w:tc>
        <w:tc>
          <w:tcPr>
            <w:tcW w:w="11033" w:type="dxa"/>
            <w:gridSpan w:val="37"/>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Национальный проект "Образование"</w:t>
            </w:r>
          </w:p>
        </w:tc>
      </w:tr>
      <w:tr>
        <w:trPr>
          <w:trHeight w:hRule="exact" w:val="1146"/>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Краткое наименование федерального</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проекта</w:t>
            </w:r>
          </w:p>
        </w:tc>
        <w:tc>
          <w:tcPr>
            <w:tcW w:w="4728" w:type="dxa"/>
            <w:gridSpan w:val="13"/>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Молодые профессионалы</w:t>
            </w:r>
          </w:p>
        </w:tc>
        <w:tc>
          <w:tcPr>
            <w:tcW w:w="3009" w:type="dxa"/>
            <w:gridSpan w:val="1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начала 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окончания проекта</w:t>
            </w:r>
          </w:p>
        </w:tc>
        <w:tc>
          <w:tcPr>
            <w:tcW w:w="3296" w:type="dxa"/>
            <w:gridSpan w:val="1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01.11.2018 - 31.12.2024</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Куратор федерального проекта</w:t>
            </w:r>
          </w:p>
        </w:tc>
        <w:tc>
          <w:tcPr>
            <w:tcW w:w="11033" w:type="dxa"/>
            <w:gridSpan w:val="37"/>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Голикова Татьяна Алексеевна, Заместитель Председателя Правительства Российской Федерации</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Старшее должностное лицо (СДЛ)</w:t>
            </w:r>
          </w:p>
        </w:tc>
        <w:tc>
          <w:tcPr>
            <w:tcW w:w="11033" w:type="dxa"/>
            <w:gridSpan w:val="37"/>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p>
        </w:tc>
      </w:tr>
      <w:tr>
        <w:trPr>
          <w:trHeight w:hRule="exact" w:val="574"/>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Руководитель федерального проекта</w:t>
            </w:r>
          </w:p>
        </w:tc>
        <w:tc>
          <w:tcPr>
            <w:tcW w:w="11033" w:type="dxa"/>
            <w:gridSpan w:val="37"/>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Марина Александровна, Заместитель Министра науки и высшего образования Российской Федерации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Ракова Марина Николаевна, Заместитель Министра просвещения Российской Федерации</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Администратор федерального проекта</w:t>
            </w:r>
          </w:p>
        </w:tc>
        <w:tc>
          <w:tcPr>
            <w:tcW w:w="11033" w:type="dxa"/>
            <w:gridSpan w:val="37"/>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Рожков Артемий Игоревич, 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Инна Анатольевна, Директор департамента</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Связь с государственными программами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Российской Федерации</w:t>
            </w:r>
          </w:p>
        </w:tc>
        <w:tc>
          <w:tcPr>
            <w:tcW w:w="11033" w:type="dxa"/>
            <w:gridSpan w:val="37"/>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"Развитие образования" на 2013 - 2020 годы, "Содействие занятости населения", Государственная программа Российской Федерации "Научно-технологическое развитие Российской Федерации"</w:t>
            </w:r>
          </w:p>
        </w:tc>
      </w:tr>
      <w:tr>
        <w:trPr>
          <w:trHeight w:hRule="exact" w:val="430"/>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r>
      <w:tr>
        <w:trPr>
          <w:trHeight w:hRule="exact" w:val="573"/>
        </w:trPr>
        <w:tc>
          <w:tcPr>
            <w:tcW w:w="15618" w:type="dxa"/>
            <w:gridSpan w:val="46"/>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2. Цели и показатели федерального проекта</w:t>
            </w:r>
          </w:p>
        </w:tc>
      </w:tr>
      <w:tr>
        <w:trPr>
          <w:trHeight w:hRule="exact" w:val="1246"/>
        </w:trPr>
        <w:tc>
          <w:tcPr>
            <w:tcW w:w="15618" w:type="dxa"/>
            <w:gridSpan w:val="4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Модернизация профессионального образования, в том числе посредством внедрения адаптивных, практико-ориентированных и гибких образовательных программ в 100% профессиональных образовательных организациях к 2024 году.Обеспечение к 2024 году вхождения Российской Федерации в число 10 ведущих стран мира по присутствию образовательных организаций высшего образования в топ-500 глобальных рейтингов университетов путём оказания государственной поддержки образовательным организациям высшего образования</w:t>
            </w:r>
          </w:p>
        </w:tc>
      </w:tr>
      <w:tr>
        <w:trPr>
          <w:trHeight w:hRule="exact" w:val="430"/>
        </w:trPr>
        <w:tc>
          <w:tcPr>
            <w:tcW w:w="573"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2149"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591"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85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86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0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14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85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86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10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r>
      <w:tr>
        <w:trPr>
          <w:trHeight w:hRule="exact" w:val="974"/>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центров опережающей профессиональной подготовки накопительным итогом, Единица</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2822"/>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w:t>
            </w:r>
          </w:p>
        </w:tc>
      </w:tr>
      <w:tr>
        <w:trPr>
          <w:trHeight w:hRule="exact" w:val="1247"/>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российских университетов, входящих в глобальные рейтинги университетов, единиц, Единица</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292"/>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w:t>
            </w:r>
          </w:p>
        </w:tc>
      </w:tr>
      <w:tr>
        <w:trPr>
          <w:trHeight w:hRule="exact" w:val="1505"/>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мастерских, оснащенных современной материально- технической базой по одной из компетенций накопительным итогом, Единица</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1 400,00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2 200,00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3 100,00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4 120,00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5 000,00</w:t>
            </w:r>
          </w:p>
        </w:tc>
      </w:tr>
      <w:tr>
        <w:trPr>
          <w:trHeight w:hRule="exact" w:val="1246"/>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Место России в мире по присутствию университетов в ТОП-500 глобальных рейтингов университетов, Место</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w:t>
            </w:r>
          </w:p>
        </w:tc>
      </w:tr>
      <w:tr>
        <w:trPr>
          <w:trHeight w:hRule="exact" w:val="1505"/>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т.ч. количество российских университетов, входящих не менее 2 лет подряд в топ-100 глобальных рейтингов университетов, единиц, Единица</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1948"/>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4012"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образовательных организаций, осуществляющих образовательную деятельность по образовательным программам высшего образования с использованием федеральных цифровых платформ (информационных систем и ресурсов), между которыми обеспечено информационное взаимодействие, в общем количестве образовательных организаций, осуществляющих образовательную деятельность по образовательным программам, Процент</w:t>
            </w:r>
          </w:p>
        </w:tc>
        <w:tc>
          <w:tcPr>
            <w:tcW w:w="214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01.01.2018</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w:t>
            </w:r>
          </w:p>
        </w:tc>
      </w:tr>
      <w:tr>
        <w:trPr>
          <w:trHeight w:hRule="exact" w:val="193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35"/>
        </w:trPr>
        <w:tc>
          <w:tcPr>
            <w:tcW w:w="573" w:type="dxa"/>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4012"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Позиция Российской Федерации в международном соревновательном рейтинге стран, готовящих выпускников (молодых специалистов) по современным требованиям в совокупном балльном исчислении, Место</w:t>
            </w:r>
          </w:p>
        </w:tc>
        <w:tc>
          <w:tcPr>
            <w:tcW w:w="2149"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c>
          <w:tcPr>
            <w:tcW w:w="129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00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r>
      <w:tr>
        <w:trPr>
          <w:trHeight w:hRule="exact" w:val="573"/>
        </w:trPr>
        <w:tc>
          <w:tcPr>
            <w:tcW w:w="15618" w:type="dxa"/>
            <w:gridSpan w:val="46"/>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3. Задачи и результаты федерального проекта</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717"/>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902" w:type="dxa"/>
            <w:gridSpan w:val="4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 Мировой чемпионат по профессиональному мастерству по стандартам Ворлдскиллс в 2019 году в г. Казани</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27.08.2019 - 1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В соответствии с распоряжением Правительства Российской Федерации от 22 апреля 2016 г. № 750-р в 2019 году в г. Казани впервые на территории Российской Федерации пройдет Мировой чемпионат по профессиональному мастерству по стандартам Ворлдскиллс.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чемпионате примут участие не менее 1630 участников соревнований и 1500 экспертов из не менее 76 стран мира, в том числе национальная сборная Российской Федерации.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Будут достигнуты целевые индикаторы плана основных мероприятий по подготовке и проведению мирового чемпионата по профессиональному мастерству по стандартам "Ворлдскиллс" в г. Казани в 2019 году, в том числе достижение 1 млн. человек, привлеченных к движению "Ворлдскиллс" через развитие системы чемпионатов. Кроме того, проведение чемпионата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продемонстрировать конкурентоспособность среднего профессионального образования Российской Федерации;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сбор и распространение лучших мировых практик реализации образовательных программ среднего профессионального образования среди </w:t>
            </w:r>
            <w:r>
              <w:rPr>
                <w:sz w:val="24"/>
                <w:szCs w:val="24"/>
                <w:rFonts w:ascii="Times New Roman" w:hAnsi="Times New Roman" w:eastAsia="Times New Roman" w:cs="Times New Roman"/>
                <w:spacing w:val="-2"/>
              </w:rPr>
              <w:t xml:space="preserve">профессиональных образовательных организаций в Российской Федерации.</w:t>
            </w:r>
          </w:p>
          <w:p/>
        </w:tc>
      </w:tr>
      <w:tr>
        <w:trPr>
          <w:trHeight w:hRule="exact" w:val="183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3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 менее 25%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31.12.2019 - 5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31.12.2020 - 6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31.12.2021 - 8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31.12.2022 - 13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31.12.2023 - 18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31.12.2024 - 25 проц</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Минобрнауки России от 16 августа 2013 г. № 968 к концу 2024 года увеличено, по сравнению с 2018 годом, число обучающиеся, завершающих освоение основных профессиональных образовательных программ среднего профессионального образования и проходящих государственную итоговую аттестацию в виде демонстрационного экзамена до не менее чем 25 %.</w:t>
            </w: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Реализация мероприятий федерального проекта будет направлена на формирование обновленных содержательных, организационно-методологических, материально-технических условий для прохождения аттестации с использованием механизма демонстрационного экзамена, что позволит поэтапно достичь следующих результатов охвата обучающихся накопительным итогом:</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2019 г. - 5%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2020 г. - 6%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2021 г. - 8%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2022 г. - 13%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2023 г. - 18%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2024 г. - 25% обучающихся.</w:t>
            </w:r>
          </w:p>
          <w:p/>
        </w:tc>
      </w:tr>
      <w:tr>
        <w:trPr>
          <w:trHeight w:hRule="exact" w:val="243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21"/>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276"/>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Создано 100 центров опережающей профессиональной подготовки</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31.12.2019 - 14 ед</w:t>
            </w: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соответствии с поручением Президента Российской Федерации от 6 апреля 2018 г. № Пр-580 (п. 1 в) Центр опережающей профессиональной подготовки (далее - ЦОПП) создается, в том </w:t>
            </w:r>
          </w:p>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31.12.2020 - 22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31.12.2021 - 34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31.12.2022 - 51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31.12.2023 - 68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31.12.2024 - 100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числе на базе лучших профессиональных образовательных организаций (как самостоятельные организации или структурные подразделения существующих организаций, реализующих дополнительные образовательные программы для взрослых, программы профессиональной подготовки и переподготовки кадров, программы профессиональной ориентации), с предоставлением им возможности: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использования совместно с другими профессиональными образовательными организациями современного оборудования для подготовки, переподготовки и повышения квалификации граждан по наиболее востребованным и перспективным профессиям на уровне, соответствующем стандартам "Ворлдскиллс", в том числе по программе ускоренного обучения;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реализации программ повышения квалификации педагогов и мастеров производственного обучения профессиональных образовательных организаций;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проведения демонстрационного экзамена по стандартам "Ворлдскиллс" для лиц, освоивших образовательные программы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осуществления мероприятий по профессиональной ориентации лиц, обучающихся в общеобразовательных организациях, а также обучения их первой профессии.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целях эффективности реализации мероприятий Минпросвещения России в первой половине 2019 года будут сформированы методические рекомендации, определяющие основные принципы создания и функционирования центров опережающей профессиональной подготовки.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концу 2024 года во всех субъектах Российской Федерации за </w:t>
            </w:r>
          </w:p>
          <w:p/>
        </w:tc>
      </w:tr>
      <w:tr>
        <w:trPr>
          <w:trHeight w:hRule="exact" w:val="286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счет средств федеральной поддержки планируется создать 100 центров опережающей подготовки (расходы на формирование современных условий труда для сотрудников ЦОПП,  в том числе средства на закупку рабочих мест для сотрудников ЦОПП, оборудования для реализации мероприятий с участием общеобразовательных организаций и профессиональных образовательных организаций, а также на расходные материалы для обеспечения их деятельности), что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выстроить систему эффективной подготовки и дополнительного профессионального образования по профессиям, в том числе для сдачи демонстрационного экзамена с учетом опыта Союза Ворлдскиллс Россия;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подготовку квалифицированных рабочих, служащих и специалистов среднего звена в соответствии с современными стандартами и передовыми технологиями, в том числе стандартами Ворлдскиллс Россия;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оказать влияние на рост конкурентоспособности среднего профессионального образования Российской Федерации на международном уровне.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Внедрение программ модернизации образовательных организаций, реализующих образовательные программы среднего профессионального образования, в целях ликвидации дефицита квалифицированных рабочих кадров,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качество среднего профессионального образования на уровне, сопоставимом с лучшими мировыми практиками, и при этом ответить на вызовы текущих и прогнозируемых кадровых дефицитов;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 учетом стратегий регионального развития реализовать меры </w:t>
            </w:r>
          </w:p>
          <w:p/>
        </w:tc>
      </w:tr>
      <w:tr>
        <w:trPr>
          <w:trHeight w:hRule="exact" w:val="286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1247"/>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по развитию инфраструктуры, кадрового потенциала, созданию современных условий для реализации профессиональных образовательных программ.</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Создано 5000 мастерских, оснащенных современной материально-технической базой по одной из компетенций</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31.12.2019 - 700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31.12.2020 - 1400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31.12.2021 - 2200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31.12.2022 - 3100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31.12.2023 - 4120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31.12.2024 - 5000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Создание мастерских, </w:t>
            </w:r>
            <w:r>
              <w:rPr>
                <w:sz w:val="24"/>
                <w:szCs w:val="24"/>
                <w:rFonts w:ascii="Times New Roman" w:hAnsi="Times New Roman" w:eastAsia="Times New Roman" w:cs="Times New Roman"/>
                <w:spacing w:val="-2"/>
              </w:rPr>
              <w:t xml:space="preserve">оснащенных современной материально-технической базой </w:t>
            </w:r>
            <w:r>
              <w:rPr>
                <w:sz w:val="24"/>
                <w:szCs w:val="24"/>
                <w:rFonts w:ascii="Times New Roman" w:hAnsi="Times New Roman" w:eastAsia="Times New Roman" w:cs="Times New Roman"/>
                <w:spacing w:val="-2"/>
              </w:rPr>
              <w:t xml:space="preserve">по одной из компетенций,</w:t>
            </w:r>
            <w:r>
              <w:rPr>
                <w:sz w:val="24"/>
                <w:szCs w:val="24"/>
                <w:rFonts w:ascii="Times New Roman" w:hAnsi="Times New Roman" w:eastAsia="Times New Roman" w:cs="Times New Roman"/>
                <w:spacing w:val="-2"/>
              </w:rPr>
              <w:t xml:space="preserve"> осуществляется во исполнение поручения Президента Российской Федерации по итогам встречи с членами национальной сборной России по профессиональному мастерству от 21 сентября 2015 г. № Пр-1921 (пункт 1 "д") по следующим направлениям:</w:t>
            </w: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промышленные и инженерные технологии;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информационные и коммуникационные технологии;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строительство;</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обслуживание транспорта и логистика;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искусство и дизайн;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сфера услуг.</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целях эффективности реализации мероприятий Минпросвещения России в первой половине 2019 года будут сформированы целевые модели, определяющие основные принципы создания и функционирования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 основании экспертных оценок востребованности групп профессий и специальностей, с учетом мониторинга качества подготовки кадров в соответствии с приоритетами развития российской экономики, определена следующая потребность в количестве мастерских по группам специальностей:</w:t>
            </w:r>
          </w:p>
          <w:p>
            <w:pPr>
              <w:rPr>
                <w:rFonts w:ascii="Times New Roman" w:hAnsi="Times New Roman" w:eastAsia="Times New Roman" w:cs="Times New Roman"/>
                <w:color w:val="000000"/>
                <w:sz w:val="24"/>
                <w:spacing w:val="-2"/>
              </w:rPr>
              <w:spacing w:line="230"/>
            </w:pPr>
          </w:p>
          <w:p/>
        </w:tc>
      </w:tr>
      <w:tr>
        <w:trPr>
          <w:trHeight w:hRule="exact" w:val="2451"/>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3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промышленные и инженерные технологии (специализация: "Машиностроение, управление сложными техническими системами, обработка материалов") - 300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информационные и коммуникационные технологии - 400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строительство - 600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обслуживание транспорта и логистика - 600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искусство, дизайн и сфера услуг - 500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промышленные и инженерные технологии (специализация: "Автоматизация, радиотехника и электроника") - 200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сельское хозяйство - 400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социальная сфера - 2000 мастерских.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Таким образом, к 2024 году планируется создание не менее 5 000 мастерских (см. результат 1.23.), </w:t>
            </w:r>
            <w:r>
              <w:rPr>
                <w:sz w:val="24"/>
                <w:szCs w:val="24"/>
                <w:rFonts w:ascii="Times New Roman" w:hAnsi="Times New Roman" w:eastAsia="Times New Roman" w:cs="Times New Roman"/>
                <w:spacing w:val="-2"/>
              </w:rPr>
              <w:t xml:space="preserve">оснащенных современной материально-технической базой </w:t>
            </w:r>
            <w:r>
              <w:rPr>
                <w:sz w:val="24"/>
                <w:szCs w:val="24"/>
                <w:rFonts w:ascii="Times New Roman" w:hAnsi="Times New Roman" w:eastAsia="Times New Roman" w:cs="Times New Roman"/>
                <w:spacing w:val="-2"/>
              </w:rPr>
              <w:t xml:space="preserve">по одной из компетенций </w:t>
            </w:r>
            <w:r>
              <w:rPr>
                <w:sz w:val="24"/>
                <w:szCs w:val="24"/>
                <w:rFonts w:ascii="Times New Roman" w:hAnsi="Times New Roman" w:eastAsia="Times New Roman" w:cs="Times New Roman"/>
                <w:spacing w:val="-2"/>
              </w:rPr>
              <w:t xml:space="preserve">(в том числе создание мастерских предполагает расходы на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мебели и расходных материалов)</w:t>
            </w:r>
            <w:r>
              <w:rPr>
                <w:sz w:val="24"/>
                <w:szCs w:val="24"/>
                <w:rFonts w:ascii="Times New Roman" w:hAnsi="Times New Roman" w:eastAsia="Times New Roman" w:cs="Times New Roman"/>
                <w:spacing w:val="-2"/>
              </w:rPr>
              <w:t xml:space="preserve">, что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выстроить систему эффективной подготовки и дополнительного профессионального образования по профессиям, в том числе для сдачи демонстрационного экзамена с учетом опыта Союза Ворлдскиллс Россия;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подготовку квалифицированных рабочих, </w:t>
            </w:r>
          </w:p>
          <w:p/>
        </w:tc>
      </w:tr>
      <w:tr>
        <w:trPr>
          <w:trHeight w:hRule="exact" w:val="286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235"/>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служащих и специалистов среднего звена в соответствии с современными стандартами и передовыми технологиями, в том числе стандартами Ворлдскиллс Россия;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оказать влияние на рост конкурентоспособности среднего профессионального образования Российской Федерации на международном уровне.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профессиональной образовательной организации, в том числе в обновлении образовательных программ </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31.12.2021 - 1 докум</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Внедренные к концу 2019 года путем предварительной апробации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образовательных организаций, в том числе через представительство в коллегиальных органах управления развитием профессиональной образовательной организации и участие в обновлении образовательных программ,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усовершенствовать организационные, финансово-экономические и методические механизмы управления развитием профессиональными образовательными организациями;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обновить образовательные программы среднего профессионального образования в части включения практикоориентированных компонентов;</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повысить уровень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повысить конкурентоспособность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1819"/>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20"/>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593"/>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посредством привлечения к этой деятельности специалистов-практиков </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31.12.2019 - 1 докум</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Разработка к концу 2019 года методологии наставничества в системе среднего профессионального образования, в том числе посредством привлечения к этой деятельности специалистов-практиков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сформировать организационно-методическую основу для внедрения и последующего развития механизмов наставничества в системе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привлечение в роли наставников обучающихся по образовательным программам среднего профессионального образования работников предприятий и организаций, в том числе из реального сектора экономики;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обучающимся получить необходимые знания, а также на реальном примере специалистов-практиков сформировать личные и профессиональные компетенции.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tc>
      </w:tr>
      <w:tr>
        <w:trPr>
          <w:trHeight w:hRule="exact" w:val="259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0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Обновлены перечень профессий рабочих, должностей служащих, по которым осуществляется профессиональное обучение, перечни профессий и специальностей среднего профессионального образования, на основе актуализации Справочника профессий. </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Обновлены федеральные государственные стандарты среднего профессионального образования</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01.07.2024 - 1 докум</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Актуализацию перечня профессий рабочих, должностей служащих, по которым осуществляется профессиональное обучение и перечней  профессий и специальностей  среднего профессионального образования, на основе профессиональных стандартов, а также  федеральных государственных образовательных  стандартов среднего профессионального образования, планируется осуществлять поэтапно с предварительной апробацией в ряде субъектов Российской Федерации. Кроме того, планируется обеспечить появление профилей цифровых компетенций и соответствующих программ среднего профессионального образования с целью ускоренной подготовки кадров для цифровой экономики. Поэтапно планируется также внедрение нормативов финансового </w:t>
            </w:r>
          </w:p>
          <w:p/>
        </w:tc>
      </w:tr>
      <w:tr>
        <w:trPr>
          <w:trHeight w:hRule="exact" w:val="190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обеспечения обучения по программам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Ожидаемыми результатами реализации указанных мероприятий станут: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функционирование системы подготовки кадров в соответствии с запросами реального сектора экономики, социальной сферы, сферы услуг, малого предпринимательства и др.;</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внедрение современных методик и программ преподавания по общеобразовательным дисциплинам в системе среднего профессионального образования, учитывающих образовательные потребности обучающихся организаций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получение обучающимися актуальных знаний, а также формирование необходимых личных и профессиональных качеств;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оказание благоприятного влияния на социально-экономическое развитие соответствующих субъектов Российской Федерации;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повышение конкурентоспособности профессионального образования Российской Федерации на международном уровне.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16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6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737"/>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Обновлена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30.12.2024 - 1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Начиная с 2020 года Минпросвещения России ежегодно предоставляет субсидии на иные цели Всероссийскому детскому центру "Смена" на развитие инфраструктуры Всероссийского учебно-тренировочного центра профессионального мастерства и популяризации рабочих профессий, что позволит к 30 сентября 2021 г. создать условия для: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обеспечения охвата не менее 4 тыс. человек ежегодно образовательными программами дополнительного образования, реализуемыми на базе Центра;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функционирования круглогодичной современной высокооснащенной базы по формированию у обучающихся необходимых общих и профессиональных компетенций;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для подготовки национальной сборной команды Российской Федерации к участию в международных соревнованиях.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722"/>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31.12.2024 - 85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Внедрение к концу 2023 года во всех субъектах Российской Федерации программ профессионального обучения по наиболее востребованным и перспективным профессиям на уровне, соответствующем стандартам Ворлдскиллс,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создать систему подготовки кадров, в том числе обеспечивающую непрерывное получение гражданами профессиональных знаний;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обновить образовательные программы профессионального обучения в соответствии с современными и перспективными направлениями технического и социально-экономического развития;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сформировать профессиональный кадровый потенциал, отвечающий вызовам современности и будущего развития системы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оказать благоприятное влияние на социально-экономическое развитие соответствующих субъектов Российской Федерации;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повысить конкурентоспособность профессионального образования Российской Федерации на международном уровне.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tc>
      </w:tr>
      <w:tr>
        <w:trPr>
          <w:trHeight w:hRule="exact" w:val="190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91"/>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622"/>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 менее 70%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вовлечены в различные формы наставничества </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31.12.2024 - 70 проц</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Внедрение с 1 июля 2020 г. апробированной методологии наставничества в системе среднего профессионального образования позволит к концу 2024 года вовлечь в различные формы наставничества не менее 70% обучающихся образовательных организаций, реализующих программы среднего профессионального образования. Реализованный комплекс мер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привлечение в роли наставников обучающихся по образовательным программам среднего профессионального образования работников предприятий и организаций, в том числе из реального сектора экономики;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обучающимся получить необходимые знания, а также на реальном примере специалистов-практиков сформировать личные и профессиональные компетенции.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622"/>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 менее 35 тыс. преподавателей (мастеров производственного обучения) прошли повышение квалификации по программам, основанным на опыте Союза Ворлдскиллс Россия, из них не менее 10 тыс. преподавателей (мастеров производственного обучения) сертифицированы в качестве экспертов Ворлдскиллс</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31.12.2024 - 35 тыс чел</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концу 2024 года не менее 35 тыс. преподавателей (мастеров производственного обучения) прошли повышение квалификации по программам, основанным на опыте Союза Ворлдскиллс Россия, а также прошли практику на предприятиях-партнерах. Кроме того, не менее 10 тыс. из них сертифицированы в качестве экспертов Ворлдскиллс.</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Проведение данных мероприятий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создать условия для стимулирования роста профессионального мастерства преподавателей (мастеров производственного обучения);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сформировать высокоэффективный кадровый потенциал преподавателей (мастеров производственного обучения);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оказать влияние на рост конкурентоспособности профессионального образования Российской Федерации на международном уровне;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обеспечить формирование пула экспертов, сертифицированных для проведения демонстрационных экзаменов и подготовки команд к чемпионатам по профессиональному мастерству.</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tc>
      </w:tr>
      <w:tr>
        <w:trPr>
          <w:trHeight w:hRule="exact" w:val="190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91"/>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Реализуются мероприятия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31.12.2021 - 1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31.12.2022 - 1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31.12.2023 - 1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31.12.2024 - 1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Ежегодное проведение конкурса профессионального мастерства среди инвалидов и людей с ограниченными возможностями здоровья  "Абилимпикс" позволит: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сформировать скоординированную систему межведомственного взаимодействия по развитию инклюзивного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оценить качество профессиональной подготовки инвалидов и людей с ограниченными возможностями здоровья;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обновить содержание адаптивных образовательных программ через развитие ресурсных учебно-методических центров;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повысить мотивацию к обучению, саморазвитию и трудоустройству у инвалидов и людей с ограниченными возможностями здоровья;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подготовить национальную сборную для участия в международных </w:t>
            </w:r>
            <w:r>
              <w:rPr>
                <w:sz w:val="24"/>
                <w:szCs w:val="24"/>
                <w:rFonts w:ascii="Times New Roman" w:hAnsi="Times New Roman" w:eastAsia="Times New Roman" w:cs="Times New Roman"/>
                <w:spacing w:val="-2"/>
              </w:rPr>
              <w:t xml:space="preserve">и национальных чемпионатах профессионального мастерства для людей с инвалидностью.</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177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93"/>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w:t>
            </w: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ротация и конкурсный отбор университетов, получающих государственную поддержку в целях повышения их конкурентоспособности среди ведущих мировых научно-образовательных центров (далее соответственно - ведущие университеты, глобальная конкурентоспособность), не менее 30 университетов получают государственную поддержку (не менее 1 в каждом федеральном округе и не менее чем в 10 субъектах Российской Федерации); сформированы (актуализированы) их программы развития ("дорожные карты") с учетом национальных целей Российской Федерации до 2024 года </w:t>
            </w: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 целью достижения показателя, утвержденного Указом Президента Российской Федерации от 7 мая 2012 г. № 599 "О мерах по реализации государственной политики в области образования и науки", по обеспечению вхождения к 2020 году не менее пяти российских университетов в первую сотню ведущих мировых университетов в перспективе до 2020 года включительно в соответствии с постановлением Правительства Российской Федерации от 16 марта 2013 года № 211 "О мерах государственной поддержки ведущих университетов Российской </w:t>
            </w:r>
          </w:p>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31.12.2020 - 30 усл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Федерации в целях повышения их конкурентоспособности среди ведущих мировых научно-образовательных центров" будет предоставляться государственная поддержка 21 университету, отобранному по результатам конкурсов в 2013 и 2015 годах. В 2019 году по итогам анализа результативности реализации университетами "дорожных карт" по повышению конкурентоспособности среди ведущих мировых научно-образовательных центров за 2018 год и с учетом решений совета </w:t>
            </w:r>
            <w:r>
              <w:rPr>
                <w:sz w:val="24"/>
                <w:szCs w:val="24"/>
                <w:rFonts w:ascii="Times New Roman" w:hAnsi="Times New Roman" w:eastAsia="Times New Roman" w:cs="Times New Roman"/>
                <w:spacing w:val="-2"/>
              </w:rPr>
              <w:t xml:space="preserve">по повышению международной конкурентоспособности</w:t>
            </w:r>
            <w:r>
              <w:rPr>
                <w:sz w:val="24"/>
                <w:szCs w:val="24"/>
                <w:rFonts w:ascii="Times New Roman" w:hAnsi="Times New Roman" w:eastAsia="Times New Roman" w:cs="Times New Roman"/>
                <w:spacing w:val="-2"/>
              </w:rPr>
              <w:t xml:space="preserve"> будет проведена ротация университетов по объемам финансирования реализации "дорожных карт" в 2020 году. Ротация обеспечит концентрацию ресурсов на вузах, наиболее успешных в достижении указанного целевого ориентира, а также повышение эффективности расходования средств федерального бюджета.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Достижение цели по обеспечению глобальной конкурентоспособности российского образования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обуславливает необходимость дальнейшей реализации мер государственной поддержки российских университетов в целях повышения их международной конкурентоспособности.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течение 2020 года будет обновлена нормативная правовая база, регламентирующая предоставление такой государственной поддержки, включая условия и критерии отбора университетов, а также состав совета по повышению международной конкурентоспособности.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Также в 2020 году будет проведен конкурсный отбор в целях предоставления, начиная с 2021 года, государственной поддержки университетам на реализацию программ развития ("дорожных карт") по повышению международной </w:t>
            </w:r>
          </w:p>
          <w:p/>
        </w:tc>
      </w:tr>
      <w:tr>
        <w:trPr>
          <w:trHeight w:hRule="exact" w:val="286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43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конкурентоспособности и обеспечению в 2024 году 10 места России в мире по присутствию университетов в топ-500 глобальных рейтингов университетов. Расширение рейтингового диапазона позволит большему числу российских университетов (не менее 30), </w:t>
            </w:r>
            <w:r>
              <w:rPr>
                <w:sz w:val="24"/>
                <w:szCs w:val="24"/>
                <w:rFonts w:ascii="Times New Roman" w:hAnsi="Times New Roman" w:eastAsia="Times New Roman" w:cs="Times New Roman"/>
                <w:spacing w:val="-2"/>
              </w:rPr>
              <w:t xml:space="preserve">имеющих ресурс развития, нацеленных на повышение международной конкурентоспособности</w:t>
            </w:r>
            <w:r>
              <w:rPr>
                <w:sz w:val="24"/>
                <w:szCs w:val="24"/>
                <w:rFonts w:ascii="Times New Roman" w:hAnsi="Times New Roman" w:eastAsia="Times New Roman" w:cs="Times New Roman"/>
                <w:spacing w:val="-2"/>
              </w:rPr>
              <w:t xml:space="preserve"> и уже</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попавших в публикуемую часть глобальных рейтингов без целевой государственной поддержки, </w:t>
            </w:r>
            <w:r>
              <w:rPr>
                <w:sz w:val="24"/>
                <w:szCs w:val="24"/>
                <w:rFonts w:ascii="Times New Roman" w:hAnsi="Times New Roman" w:eastAsia="Times New Roman" w:cs="Times New Roman"/>
                <w:spacing w:val="-2"/>
              </w:rPr>
              <w:t xml:space="preserve">получить серьезный финансовый ресурс на закрепление своих достижений и дальнейшее развитие, что в целом должно обеспечить усиление и устойчивость позиций России в мировом научно-образовательном пространстве.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Объем государственной финансовой поддержки университетов будет определяться, исходя из объема средств федерального бюджета, которые предоставлялись на поддержку программ и проектов развития университетов в 2009 - 2020 годах.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43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каждый ведущий университет (не менее 30), получающий государственную поддержку в целях повышения своей глобальной конкурентоспособности, обеспечивает достижение следующих показателей:</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вхождение не менее двух лет подряд в топ-1000 глобальных институциональных рейтингов;</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вхождение не менее двух лет подряд в топ-200 как минимум одного предметного или отраслевого глобального рейтинга;</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размещение не менее 10 открытых онлайн-курсов на международных платформах онлайн-образования с общим числом слушателей по каждому курсу не менее 5000 не менее чем из 5 стран; </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доля научно-педагогических работников в возрасте до 35 лет составляет не менее 20% от общего числа научно-педагогических работников;</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доля студентов, поступивших на обучение по программам магистратуры и имеющих высшее образование, полученное в других образовательных организациях высшего образования, составляет не менее 30% от общего числа поступивших в магистратуру;</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общий конкурс по университету при приеме на обучение по программам магистратуры составляет не менее 3 человек на место;</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40% выпускников по программам аспирантуры защищают диссертации на соискание ученой степени кандидата наук (или ее зарубежных аналогов) не позднее года с момента завершения обучения;</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сформирован фонд целевого капитала;</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31.12.2024 - 30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Предусмотрено установление системы показателей, достижение которых должны обеспечить университеты, ориентированные на мировые стандарты развития и получающие государственную поддержку, начиная с 2021 года, с целью продвижения в глобальных рейтингах.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Достижение показателей будет обеспечиваться в рамках мероприятий</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"дорожных карт" университетов по повышению глобальной конкурентоспособности, направленных прежде всего на реализацию экспортно ориентированных и наукоемких образовательных программ, внедрение новых образовательных форматов и технологий, наращивание кадрового потенциала за счет омоложения кадрового состава, развития российской и международной академической мобильности (привлечения зарубежных и российских ученых - лидеров в исследовательских областях, организации стажировок научно-педагогических работников в зарубежных и российских университетах и исследовательских центрах), повышения эффективности подготовки научно-педагогических кадров в аспирантуре.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Установленные значения показателей должны обеспечить вклад каждого университета в достижение</w:t>
            </w:r>
            <w:r>
              <w:rPr>
                <w:sz w:val="24"/>
                <w:szCs w:val="24"/>
                <w:rFonts w:ascii="Times New Roman" w:hAnsi="Times New Roman" w:eastAsia="Times New Roman" w:cs="Times New Roman"/>
                <w:spacing w:val="-2"/>
              </w:rPr>
              <w:t xml:space="preserve"> российской системой высшего образования в 2024 году 10 места в мире по присутствию университетов в топ-500 глобальных рейтингов университетов</w:t>
            </w:r>
            <w:r>
              <w:rPr>
                <w:sz w:val="24"/>
                <w:szCs w:val="24"/>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Комплексная оценка динамики роста глобальной конкурентоспособности российской системы высшего образования будет обеспечиваться в рамках ежегодного мониторинга эффективности реализации "дорожных карт" университетов, а также подведения итогов их реализации на ежегодных заседаниях совета по повышению международной конкурентоспособности.</w:t>
            </w:r>
          </w:p>
          <w:p/>
        </w:tc>
      </w:tr>
      <w:tr>
        <w:trPr>
          <w:trHeight w:hRule="exact" w:val="286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0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0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Разработан и внедрен механизм присвоения категории "национальный исследовательский университет" образовательным организациям высшего образования и регулярного подтверждения присвоенной категории</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31.12.2020 - 1 усл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2020 году будет проведена комплексная оценка эффективности реализации утвержденных сроком на 10 лет программ развития университетов, в отношении которых установлена категория "национальный исследовательский университет" по итогам конкурсных отборов 2009 и 2010 годов. По итогам комплексной оценки Правительством Российской Федерации будут приняты решения по механизму регулярного обновления состава указанных университетов с целью повышения эффективности функционирования сети образовательных организаций высшего образования и глобальной конкурентоспособности российской системы высшего образования за счет обеспечения конкурентных условий получения университетами нормативно установленных преференций (расчет текущего финансирования деятельности с учетом повышающих коэффициентов в составе базовых нормативов затрат на оказание государственных услуг по реализации образовательных программ; право самостоятельно разрабатывать и утверждать образовательные стандарты по всем уровням высшего образования). Механизм присвоения и подтверждения категории </w:t>
            </w:r>
            <w:r>
              <w:rPr>
                <w:sz w:val="24"/>
                <w:szCs w:val="24"/>
                <w:rFonts w:ascii="Times New Roman" w:hAnsi="Times New Roman" w:eastAsia="Times New Roman" w:cs="Times New Roman"/>
                <w:spacing w:val="-2"/>
              </w:rPr>
              <w:t xml:space="preserve">"национальный исследовательский университет" будет предусматривать набор требований, в том числе имеющих количественные характеристики, которым должны отвечать университеты, имеющие указанную категорию или претендующие на ее получение. </w:t>
            </w:r>
            <w:r>
              <w:rPr>
                <w:sz w:val="24"/>
                <w:szCs w:val="24"/>
                <w:rFonts w:ascii="Times New Roman" w:hAnsi="Times New Roman" w:eastAsia="Times New Roman" w:cs="Times New Roman"/>
                <w:spacing w:val="-2"/>
              </w:rPr>
              <w:t xml:space="preserve">Существенное увеличение объемов финансового обеспечения текущей деятельности позволит университетам, имеющим статус "национальных исследовательских университетов", направить дополнительные ресурсы прежде всего на развитие кадрового потенциала.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36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6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479"/>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Сформирован перечень, включающий не менее 80 образовательных организаций высшего образования не менее чем из 40 субъектов Российской Федерации, обеспечивающих подготовку кадров для базовых отраслей экономики и социальной сферы, в том числе в целях предоставления государственной поддержки</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31.12.2019 - 1 усл шт</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2019 году на основе анализа результатов реализации приоритетного проекта "Вузы как центры пространства создания инноваций" в части эффективности государственной поддержки региональных университетов будет определен набор требований (</w:t>
            </w:r>
            <w:r>
              <w:rPr>
                <w:sz w:val="24"/>
                <w:szCs w:val="24"/>
                <w:rFonts w:ascii="Times New Roman" w:hAnsi="Times New Roman" w:eastAsia="Times New Roman" w:cs="Times New Roman"/>
                <w:spacing w:val="-2"/>
              </w:rPr>
              <w:t xml:space="preserve">в том числе имеющих количественные характеристики) к оценке потенциала университетов, предусматривающий</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обеспечение высокого качества подготовки кадров для базовых отраслей экономики и социальной сферы субъектов Российской Федерации, активное участие университетов в реализации стратегической повестки развития регионов и включающий </w:t>
            </w:r>
            <w:r>
              <w:rPr>
                <w:sz w:val="24"/>
                <w:szCs w:val="24"/>
                <w:rFonts w:ascii="Times New Roman" w:hAnsi="Times New Roman" w:eastAsia="Times New Roman" w:cs="Times New Roman"/>
                <w:spacing w:val="-2"/>
              </w:rPr>
              <w:t xml:space="preserve">параметры образовательной, научно-исследовательской и инновационной деятельности, финансовой устойчивости, кадрового потенциала. На основе указанного набора требований будет проведена комплексная оценка потенциала университетов, по результатам которой будет сформирован перечень университетов, имеющих право претендовать на получение государственной поддержки.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478"/>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21"/>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каждая образовательная организация высшего образования (не менее 80), обеспечивающая подготовку кадров для базовых отраслей экономики и социальной сферы, достигает следующих показателей:</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совместно с партнерами реального сектора экономики разрабатывает адаптивные, практико-ориентированные и гибкие образовательные программы высшего образования, которые обеспечивают получение студентами профессиональных компетенций, отвечающих актуальным требования рынка труда, в том числе в области цифровой экономики, предпринимательства, командной и проектной работы, здоровьесбережения применительно к их будущим областям профессиональной деятельности;</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70% научно-педагогических работников постоянно обновляют свои профессиональные знания и компетенции на основе актуальных достижений науки и технологий, современных профессиональных требований, перспективных задач отрасли;</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2020 году будет проведен конкурсный отбор с целью предоставления государственной поддержки на реализацию программ и проектов развития университетов, разработанных совместно с органами государственной власти субъектов Российской Федерации и обеспечивающих подготовку кадров для базовых отраслей экономики и социальной сферы. Ключевыми условиями предоставления государственной поддержки будет являться модернизация образовательной деятельности, прежде всего, в части разработки и реализации гибких образовательных программ, обеспечивающих мобильность выпускника на рынке труда за счет качества сформированности компетенций в области цифровой экономики, </w:t>
            </w:r>
          </w:p>
          <w:p/>
        </w:tc>
      </w:tr>
      <w:tr>
        <w:trPr>
          <w:trHeight w:hRule="exact" w:val="2020"/>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r>
      <w:tr>
        <w:trPr>
          <w:trHeight w:hRule="exact" w:val="429"/>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70% работников из числа профессорско-преподавательского состава участвуют в исследованиях и разработках по вопросам, относящимся к предмету преподавания, привлекают к этим исследованиям обучающихся;</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наличие программ развития, разработанных совместно с органами государственной власти субъектов Российской Федерации, предусматривающих в том числе трудоустройство выпускников в данных субъектах Российской Федерации (за исключением городов Москвы и Санкт-Петербурга);</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10% выпускников трудоустраиваются на основе договора о целевом обучении (за исключением городов Москвы и Санкт-Петербурга);</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сформирован фонд целевого капитала;</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31.12.2024 - 80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предпринимательства, командной и проектной работы, здоровьесбережения, и адаптивных, практико-ориентированных образовательных программ, которые обеспечат получение студентами профессиональных компетенций,</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отвечающих актуальным требования рынка труда и потребностям работодателей; формирование системы непрерывного профессионального роста научно-педагогических работников в партнерстве с организациями реального сектора экономики; включенность в стратегическую повестку научно-технологического развития.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Комплексная оценка эффективности подготовки кадров университетами для базовых отраслей экономики и социальной сферы субъектов Российской Федерации будет обеспечиваться в рамках ежегодного мониторинга реализации программ и проектов развития университетов, а также законодательно установленного ежегодного мониторинга деятельности образовательных организаций высшего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p>
          <w:p/>
        </w:tc>
      </w:tr>
      <w:tr>
        <w:trPr>
          <w:trHeight w:hRule="exact" w:val="1977"/>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77"/>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78"/>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w:t>
            </w: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конкурсной основе ежегодно отбирается не менее 30 научно-педагогических работников из университетов, входящих в топ-200 предметных глобальных рейтингов, которым предоставляются гранты для:</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разработки передовых образовательных программ высшего образования и их отдельных частей (рабочих программ, модулей, курсов и т.д.) по приоритетным  направлениям подготовки кадров, специальностям с учетом запросов партнеров реального сектора экономики и мировых научно-</w:t>
            </w: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целях повышения качества реализуемых образовательных программ высшего образования, мотивации научно-педагогических работников к разработке новых образовательных программ (их отдельных частей), не имеющих аналогов в российской системе высшего образования и учитывающих результаты передовых научных исследований и разработок, а </w:t>
            </w:r>
          </w:p>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технологических трендов;</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тиражирования данных образовательных программ (образовательного контента) не менее чем в 30 российских образовательных организациях высшего образования и научных организациях (за исключением организаций, расположенных в Москве и Санкт-Петербурге), в том числе с использованием механизмов сетевой формы реализации образовательных программ;</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повышения квалификации и стажировки научно-педагогических работников не менее чем в 30 российских образовательных организаций высшего образования и научных организаций (за исключением организаций, расположенных в Москве и Санкт-Петербурге) в целях дальнейшей реализации ими данных образовательных программ (образовательного контента).</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31.12.2024 - 180 чел</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также в целях кадрового обеспечения формирования и развития высокотехнологичных секторов российской экономики, начиная с 2019 года, ежегодно будет предоставляться грантовая поддержка на разработку, реализацию и тиражирование экспортно ориентированных, междисциплинарных образовательных программ высшего образования и их отдельных частей (рабочих дисциплин, модулей, курсов и т.д.) по приоритетным</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направлениям подготовки кадров, специальностям высшего образования с учетом запросов партнеров реального сектора экономики и мировых научно-технологических трендов, а также гибких образовательных программ и их отдельных частей, направленных на формирование</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компетенций в области цифровой экономики, предпринимательства, командной и проектной работы, здоровьесбережения.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Гранты будут предоставляться на конкурсной основе на период до двух лет как отдельному разработчику, так и группе преподавателей.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Обязательным условием грантовой поддержки будет являться разработка онлайн-курсов и их размещение как на глобальных образовательных платформах, так и на российских образовательных платформах, интегрированных с государственной информационной системой "Современная цифровая образовательная среда", с целью привлечения иностранных слушателей и обеспечения максимальной доступности на территории Российской Федерации разработанного образовательного контента.</w:t>
            </w:r>
            <w:r>
              <w:rPr>
                <w:b/>
                <w:color w:val="FF0000"/>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Тиражирование разработанных образовательных программ (их отдельных частей) будет осуществляться в том числе через повышение квалификации и стажировку научно-педагогических работников университетов, на базе которых будет в дальнейшем </w:t>
            </w:r>
          </w:p>
          <w:p/>
        </w:tc>
      </w:tr>
      <w:tr>
        <w:trPr>
          <w:trHeight w:hRule="exact" w:val="286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4"/>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1505"/>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осуществляться реализация образовательных программ (их отдельных частей). Будет проводиться ежегодная оценка эффективности тиражирования разработанных образовательных программ (их отдельных частей).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450"/>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 свободный доступ (бесплатный для пользователей) по принципу "одного окна" для всех категорий граждан, обучающихся по образовательным программам высшего образования и дополнительным профессиональным программам, к онлайн-курсам, реализуемым различными организациями, осуществляющими образовательную деятельность, и образовательными платформами. </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31.12.2020 - 1 усл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2020 году будет создана и введена в эксплуатацию государственная информационная система "Современная цифровая образовательная среда" (далее - система)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обеспечения доступности образовательного онлайн-контента.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Мероприятия по развитию системы в перспективе до 2024 года предусматривают: интеграцию системы с другими государственными информационными системами, внедрение сервисных решений в области повышения качества онлайн-курсов, оценки результатов освоения онлайн-курсов, взаимодействия участников цифровой образовательной среды.</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450"/>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1562"/>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Обеспечена возможность формирования индивидуальных портфолио обучающихся на созданной платформе "Современная цифровая образовательная среда", в том числе за счет использования набора сервисных и интеграционных решений</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31.12.2019 - 1 усл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2019 году на базе информационного ресурса (портала) "Современная цифровая образовательная среда", обеспечивающего доступ по принципу "одного окна" к онлайн-курсам, реализуемым различными образовательными платформами, будет внедрено типовое техническое решение по формированию цифровых индивидуальных портфолио обучающихся с целью обеспечения фиксации образовательных достижений, профессиональных компетенций, а также позиционирования на рынке труда за счет обеспечения доступа работодателей к цифровым портфолио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1548"/>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22"/>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w:t>
            </w: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не менее 20% обучающихся по образовательным программам высшего образования осваивают отдельные курсы, дисциплины (модули), в том числе в формате онлайн-курсов, с использованием ресурсов иных организаций, осуществляющих образовательную деятельность, в том числе университетов, обеспечивающих соответствие качества подготовки обучающихся мировому уровню </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31.12.2024 - 20 проц</w:t>
            </w: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Будет обеспечено развитие сетевого взаимодействия университетов, виртуальной академической мобильности обучающихся за счет широкого внедрения онлайн-технологий. Обучающиеся вне зависимости от места обучения и проживания будут иметь возможность доступа к лучшему образовательному контенту страны, наиболее мотивированные обучающиеся используют возможность проектирования персональных образовательных траекторий.</w:t>
            </w:r>
          </w:p>
          <w:p/>
        </w:tc>
      </w:tr>
      <w:tr>
        <w:trPr>
          <w:trHeight w:hRule="exact" w:val="2349"/>
        </w:trPr>
        <w:tc>
          <w:tcPr>
            <w:tcW w:w="716"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1.22</w:t>
            </w:r>
          </w:p>
        </w:tc>
        <w:tc>
          <w:tcPr>
            <w:tcW w:w="8167" w:type="dxa"/>
            <w:gridSpan w:val="1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не менее 15% научно-педагогических работников университетов, входящих в топ-500 глобальных институциональных рейтингов, участвуют в реализации образовательных программ других организаций, осуществляющих образовательную деятельность по образовательным программам высшего образования, в том числе посредством онлайн-курсов</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31.12.2024 - 15 проц</w:t>
            </w:r>
          </w:p>
        </w:tc>
        <w:tc>
          <w:tcPr>
            <w:tcW w:w="6735" w:type="dxa"/>
            <w:gridSpan w:val="2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Будет обеспечено привлечение научно-педагогических работников университетов, представленных в глобальных рейтингах, к реализации образовательных программ высшего образования в региональных университетах с целью трансляции лучших образовательных и исследовательских практик, повышению качества образования, развитию сетевого взаимодействия университетов.</w:t>
            </w:r>
          </w:p>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2478"/>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1.23</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Внедрена система мониторинга трудоустройства выпускников организаций, осуществляющих образовательную деятельность по образовательным программам высшего образования, учитывающая удовлетворенность работодателей качеством подготовки выпускников.</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31.12.2022 - 1 усл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6"/>
                <w:szCs w:val="6"/>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2022 году будет запущена модернизированная система мониторинга трудоустройства выпускников организаций (представленная на сайте graduate.edu.ru), осуществляющих образовательную деятельность по образовательным программам высшего образования, учитывающая специфику регионального рынка труда, мнение работодателей о качестве подготовки выпускников. Это повысит эффективность прогнозирования кадровой потребности, планирования объемов и структуры контрольных цифр приема.</w:t>
            </w:r>
            <w:r>
              <w:rPr>
                <w:b/>
                <w:color w:val="FF0000"/>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С учетом результатов мониторинга трудоустройства выпускников планируется внесение изменений в правила установления организациям, осуществляющим образовательную деятельность, контрольных цифр приема по направлениям подготовки и специальностям высшего образования, в части учета результатов трудоустройства выпускников в разрезе направлений подготовки, региональных рынков труда, отраслевой структуры экономики с учетом сектора самозанятости.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479"/>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1.24</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Реализованы общесистемные механизмы (не менее 2) повышения глобальной конкурентоспособности российского высшего образования</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31.12.2024 - 2 усл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Начиная с 2019 </w:t>
            </w:r>
            <w:r>
              <w:rPr>
                <w:sz w:val="24"/>
                <w:szCs w:val="24"/>
                <w:rFonts w:ascii="Times New Roman" w:hAnsi="Times New Roman" w:eastAsia="Times New Roman" w:cs="Times New Roman"/>
                <w:spacing w:val="-2"/>
              </w:rPr>
              <w:t xml:space="preserve">года, планируется комплексно обновить нормативную правовую базу, регулирующую образовательные отношения в сфере высшего образования, и </w:t>
            </w:r>
            <w:r>
              <w:rPr>
                <w:sz w:val="24"/>
                <w:szCs w:val="24"/>
                <w:rFonts w:ascii="Times New Roman" w:hAnsi="Times New Roman" w:eastAsia="Times New Roman" w:cs="Times New Roman"/>
                <w:spacing w:val="-2"/>
              </w:rPr>
              <w:t xml:space="preserve">обеспечить информационно-консультационную поддержку ее применения</w:t>
            </w:r>
            <w:r>
              <w:rPr>
                <w:sz w:val="24"/>
                <w:szCs w:val="24"/>
                <w:rFonts w:ascii="Times New Roman" w:hAnsi="Times New Roman" w:eastAsia="Times New Roman" w:cs="Times New Roman"/>
                <w:spacing w:val="-2"/>
              </w:rPr>
              <w:t xml:space="preserve">;</w:t>
            </w:r>
            <w:r>
              <w:rPr>
                <w:sz w:val="24"/>
                <w:szCs w:val="24"/>
                <w:rFonts w:ascii="Times New Roman" w:hAnsi="Times New Roman" w:eastAsia="Times New Roman" w:cs="Times New Roman"/>
                <w:spacing w:val="-2"/>
              </w:rPr>
              <w:t xml:space="preserve"> обеспечить ежегодное проведение мониторинга деятельности образовательных организаций высшего образования с целью принятия управленческих решений на основе данных мониторинга; обеспечить условия повышения эффективности управления образовательными организациями высшего образования. К 2024 году будут обеспечены общесистемные условия</w:t>
            </w:r>
            <w:r>
              <w:rPr>
                <w:sz w:val="24"/>
                <w:szCs w:val="24"/>
                <w:rFonts w:ascii="Times New Roman" w:hAnsi="Times New Roman" w:eastAsia="Times New Roman" w:cs="Times New Roman"/>
                <w:spacing w:val="-2"/>
              </w:rPr>
              <w:t xml:space="preserve">  </w:t>
            </w:r>
            <w:r>
              <w:rPr>
                <w:sz w:val="24"/>
                <w:szCs w:val="24"/>
                <w:rFonts w:ascii="Times New Roman" w:hAnsi="Times New Roman" w:eastAsia="Times New Roman" w:cs="Times New Roman"/>
                <w:spacing w:val="-2"/>
              </w:rPr>
              <w:t xml:space="preserve">повышения глобальной конкурентоспособности российского высшего образования.</w:t>
            </w:r>
          </w:p>
          <w:p/>
        </w:tc>
      </w:tr>
      <w:tr>
        <w:trPr>
          <w:trHeight w:hRule="exact" w:val="1677"/>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w:t>
            </w:r>
          </w:p>
        </w:tc>
      </w:tr>
      <w:tr>
        <w:trPr>
          <w:trHeight w:hRule="exact" w:val="430"/>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8167"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6735"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1590"/>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1.25</w:t>
            </w:r>
          </w:p>
        </w:tc>
        <w:tc>
          <w:tcPr>
            <w:tcW w:w="8167"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подготовка, проведение и обеспечено участие российской сборной в чемпионатах по профессиональному мастерству, проводимых международной организацией "WorldSkills International"</w:t>
            </w: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31.12.2019 - 1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31.12.2020 - 1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31.12.2021 - 1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31.12.2022 - 1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31.12.2023 - 1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 31.12.2024 - 1 ед</w:t>
            </w:r>
          </w:p>
        </w:tc>
        <w:tc>
          <w:tcPr>
            <w:tcW w:w="6735" w:type="dxa"/>
            <w:gridSpan w:val="2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Реализован ежегодный комплекс мероприятий, направленных на подготовку, проведение и обеспечение участия российской сборной в чемпионатах по профессиональному мастерству, проводимых международной организацией "WorldSkills International"</w:t>
            </w:r>
          </w:p>
          <w:p/>
        </w:tc>
      </w:tr>
      <w:tr>
        <w:trPr>
          <w:trHeight w:hRule="exact" w:val="1577"/>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167"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c>
          <w:tcPr>
            <w:tcW w:w="6735" w:type="dxa"/>
            <w:gridSpan w:val="2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w:t>
            </w:r>
          </w:p>
        </w:tc>
      </w:tr>
      <w:tr>
        <w:trPr>
          <w:trHeight w:hRule="exact" w:val="144"/>
        </w:trPr>
        <w:tc>
          <w:tcPr>
            <w:tcW w:w="860" w:type="dxa"/>
            <w:gridSpan w:val="3"/>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4758" w:type="dxa"/>
            <w:gridSpan w:val="43"/>
            <w:vAlign w:val="center"/>
            <w:shd w:val="clear" w:color="auto" w:fill="auto"/>
          </w:tcPr>
          <w:p/>
        </w:tc>
      </w:tr>
      <w:tr>
        <w:trPr>
          <w:trHeight w:hRule="exact" w:val="430"/>
        </w:trPr>
        <w:tc>
          <w:tcPr>
            <w:tcW w:w="15618" w:type="dxa"/>
            <w:gridSpan w:val="46"/>
            <w:vAlign w:val="center"/>
            <w:tcBorders>
              <w:bottom w:val="single" w:sz="5" w:space="0" w:color="000000"/>
            </w:tcBorders>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4. Финансовое обеспечение реализации федерального проекта</w:t>
            </w:r>
          </w:p>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w:t>
            </w:r>
          </w:p>
          <w:p/>
        </w:tc>
        <w:tc>
          <w:tcPr>
            <w:tcW w:w="14615" w:type="dxa"/>
            <w:gridSpan w:val="4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r>
              <w:rPr>
                <w:color w:val="FFFFFF"/>
                <w:sz w:val="24"/>
                <w:szCs w:val="24"/>
                <w:rFonts w:ascii="Times New Roman" w:hAnsi="Times New Roman" w:eastAsia="Times New Roman" w:cs="Times New Roman"/>
                <w:spacing w:val="-2"/>
              </w:rPr>
              <w:t xml:space="preserve">0</w:t>
            </w:r>
          </w:p>
          <w:p/>
        </w:tc>
      </w:tr>
      <w:tr>
        <w:trPr>
          <w:trHeight w:hRule="exact" w:val="124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 Мировой чемпионат по профессиональному мастерству по стандартам Ворлдскиллс в 2019 году в г. Казани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r>
      <w:tr>
        <w:trPr>
          <w:trHeight w:hRule="exact" w:val="44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из них межбюджетные трансферты бюджетам</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4 577,18</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2292"/>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 менее 25%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101,00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3 541,00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101,00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688,00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3 541,00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Создано 100 центров опережающей профессиональной подготовки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780,75</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4 512,91</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696,54</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4 355,52</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из них межбюджетные трансферты бюджетам</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696,54</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4 355,52</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780,75</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746,43</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4 512,91</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24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Создано 5000 мастерских, оснащенных современной материально-технической базой по одной из компетенций</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3 260,00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4 677,80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4 637,00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4 637,00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4 637,00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4 657,40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26 506,20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3 200,00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4 590,00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4 550,00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4 550,00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4 570,00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26 010,00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87,80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87,40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496,20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677"/>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Обновлены перечень профессий рабочих, должностей служащих, по которым осуществляется профессиональное обучение, перечни профессий и специальностей среднего профессионального образования, на основе актуализации Справочника профессий.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Обновлены федеральные государственные стандарты среднего профессионального образования</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290,11</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1 748,25</w:t>
            </w:r>
          </w:p>
        </w:tc>
      </w:tr>
      <w:tr>
        <w:trPr>
          <w:trHeight w:hRule="exact" w:val="167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290,11</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291,63</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1 748,25</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6"/>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03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Обновлена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3 303,81</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3 303,81</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256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2823"/>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 менее 35 тыс. преподавателей (мастеров производственного обучения) прошли повышение квалификации по программам, основанным на опыте Союза Ворлдскиллс Россия, из них не менее 10 тыс. преподавателей (мастеров производственного обучения) сертифицированы в качестве экспертов Ворлдскиллс</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308,00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896,28</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4 389,38</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308,00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896,28</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796,28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4 389,38</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56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Реализуются мероприятия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737"/>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ротация и конкурсный отбор университетов, получающих государственную поддержку в целях повышения их конкурентоспособности среди ведущих мировых научно-образовательных центров (далее соответственно - ведущие университеты, глобальная конкурентоспособность), не менее 30 университетов получают государственную поддержку (не менее 1 в каждом федеральном округе и не менее чем в 10 субъектах Российской Федерации); сформированы (актуализированы) их программы развития ("дорожные карты") с учетом национальных целей Российской Федерации до 2024 года </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13 352,90</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13 523,66</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26 876,56</w:t>
            </w:r>
          </w:p>
        </w:tc>
      </w:tr>
      <w:tr>
        <w:trPr>
          <w:trHeight w:hRule="exact" w:val="2722"/>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11 752,90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11 923,66</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23 676,56</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3 200,00</w:t>
            </w:r>
          </w:p>
        </w:tc>
      </w:tr>
      <w:tr>
        <w:trPr>
          <w:trHeight w:hRule="exact" w:val="6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каждый ведущий </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14 527,70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14 527,70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14 527,70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14 527,70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58 110,81</w:t>
            </w: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866"/>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университет (не менее 30), получающий государственную поддержку в целях повышения своей глобальной конкурентоспособности, обеспечивает достижение следующих показателей:</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вхождение не менее двух лет подряд в топ-1000 глобальных институциональных рейтингов;</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вхождение не менее двух лет подряд в топ-200 как минимум одного предметного или отраслевого глобального рейтинга;</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размещение не менее 10 открытых онлайн-курсов на международных платформах онлайн-образования с общим числом слушателей по каждому курсу не менее 5000 не менее чем из 5 стран;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доля научно-педагогических работников в возрасте до 35 лет составляет не менее 20% от общего числа научно-педагогических работников;</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доля студентов, поступивших на обучение по программам магистратуры и имеющих высшее образование, полученное в других образовательных организациях высшего образования, составляет не менее 30% от общего числа поступивших в магистратуру;</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90"/>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90"/>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736"/>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общий конкурс по университету при приеме на обучение по программам магистратуры составляет не менее 3 человек на место;</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40% выпускников по программам аспирантуры защищают диссертации на соискание ученой степени кандидата наук (или ее зарубежных аналогов) не позднее года с момента завершения обучения;</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сформирован фонд целевого капитала;</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723"/>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12 927,70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12 927,70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12 927,70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12 927,70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51 710,81</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6 400,00</w:t>
            </w: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03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Разработан и внедрен механизм присвоения категории "национальный исследовательский университет" образовательным организациям высшего образования и регулярного подтверждения присвоенной категории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115,00</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547"/>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Сформирован перечень, включающий не менее 80 образовательных организаций высшего образования не менее чем из 40 субъектов Российской Федерации, обеспечивающих подготовку кадров для базовых отраслей экономики и социальной сферы, в том числе в целях предоставления государственной поддержки</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45,28</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45,28</w:t>
            </w:r>
          </w:p>
        </w:tc>
      </w:tr>
      <w:tr>
        <w:trPr>
          <w:trHeight w:hRule="exact" w:val="1534"/>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45,28</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45,28</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2866"/>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каждая образовательная организация высшего образования (не менее 80), обеспечивающая подготовку кадров для базовых отраслей экономики и социальной сферы, достигает следующих показателей:</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совместно с партнерами реального сектора экономики разрабатывает адаптивные, практико-ориентированные и гибкие образовательные программы высшего образования, которые обеспечивают получение студентами профессиональных компетенций, отвечающих актуальным требования рынка труда, в том числе в области цифровой экономики, предпринимательства, командной и проектной работы, здоровьесбережения применительно к их будущим областям профессиональной деятельности;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70% научно-</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2 849,41</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2 838,82</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1 880,13</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1 847,13</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1 847,13</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1 847,13</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13 109,76</w:t>
            </w:r>
          </w:p>
        </w:tc>
      </w:tr>
      <w:tr>
        <w:trPr>
          <w:trHeight w:hRule="exact" w:val="1863"/>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48"/>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6"/>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865"/>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педагогических работников постоянно обновляют свои профессиональные знания и компетенции на основе актуальных достижений науки и технологий, современных профессиональных требований, перспективных задач отрасли;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70% работников из числа профессорско-преподавательского состава участвуют в исследованиях и разработках по вопросам, относящимся к предмету преподавания, привлекают к этим исследованиям обучающихся;</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наличие программ развития, разработанных совместно с органами государственной власти субъектов Российской Федерации, предусматривающих в том числе трудоустройство выпускников в данных субъектах Российской Федерации (за исключением городов Москвы и Санкт-Петербурга);</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не менее 10% выпускников трудоустраиваются на основе договора о целевом обучении (за исключением городов Москвы и Санкт-Петербурга);</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сформирован фонд целевого капитала;</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вовлечение общественно-деловых </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90"/>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90"/>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6"/>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150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44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2 849,41</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2 838,82</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1 880,13</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1 847,13</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1 847,13</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1 847,13</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13 109,76</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2322"/>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конкурсной основе ежегодно отбирается не менее 30 научно-педагогических работников из университетов, входящих в топ-200 предметных глобальных рейтингов, которым предоставляются гранты для:</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разработки передовых образовательных программ высшего образования и их отдельных частей (рабочих программ, модулей, курсов и т.д.) по приоритетным  направлениям подготовки кадров, специальностям с учетом запросов партнеров реального сектора экономики и мировых научно-</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232,00</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264,00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264,00</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770,00</w:t>
            </w:r>
          </w:p>
        </w:tc>
      </w:tr>
      <w:tr>
        <w:trPr>
          <w:trHeight w:hRule="exact" w:val="230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866"/>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технологических трендов;</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тиражирования данных образовательных программ (образовательного контента) не менее чем в 30 российских образовательных организациях высшего образования и научных организациях (за исключением организаций, расположенных в Москве и Санкт-Петербурге), в том числе с использованием механизмов сетевой формы реализации образовательных программ;</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повышения квалификации и стажировки научно-педагогических работников не менее чем в 30 российских образовательных организаций высшего образования и научных организаций (за исключением организаций, расположенных в Москве и Санкт-Петербурге) в целях дальнейшей реализации ими данных образовательных программ (образовательного контента).</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963"/>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8"/>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232,00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264,00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264,00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770,00</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677"/>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 свободный доступ (бесплатный для пользователей) по принципу "одного окна" для всех категорий граждан, обучающихся по образовательным программам высшего образования и дополнительным профессиональным программам, к онлайн-курсам, реализуемым различными организациями, осуществляющими образовательную деятельность, и образовательными платформами. </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w:t>
            </w:r>
          </w:p>
        </w:tc>
      </w:tr>
      <w:tr>
        <w:trPr>
          <w:trHeight w:hRule="exact" w:val="167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6"/>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292"/>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Обеспечена возможность формирования индивидуальных портфолио обучающихся на созданной платформе "Современная цифровая образовательная среда", в том числе за счет использования набора сервисных и интеграционных решений</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1805"/>
        </w:trPr>
        <w:tc>
          <w:tcPr>
            <w:tcW w:w="100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2024 году не менее 20% обучающихся по образовательным программам высшего образования осваивают отдельные курсы, дисциплины (модули), в том числе в формате онлайн-курсов, с использованием ресурсов иных организаций, осуществляющих образовательную деятельность, в том числе университетов, обеспечивающих соответствие качества подготовки обучающихся мировому уровню </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95,00</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8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1 495,00</w:t>
            </w:r>
          </w:p>
        </w:tc>
      </w:tr>
      <w:tr>
        <w:trPr>
          <w:trHeight w:hRule="exact" w:val="180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1 495,00</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292"/>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Внедрена система мониторинга трудоустройства выпускников организаций, осуществляющих образовательную деятельность по образовательным программам высшего образования, учитывающая удовлетворенность работодателей качеством подготовки выпускников.</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153,00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153,00</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24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Реализованы общесистемные механизмы (не менее 2) повышения глобальной конкурентоспособности российского высшего образования</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105,47</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74,95</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74,95</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95,95</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95,95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497,27</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105,47</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74,95</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74,95</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95,95</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95,95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497,27</w:t>
            </w:r>
          </w:p>
        </w:tc>
      </w:tr>
      <w:tr>
        <w:trPr>
          <w:trHeight w:hRule="exact" w:val="97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w:t>
            </w:r>
          </w:p>
        </w:tc>
      </w:tr>
      <w:tr>
        <w:trPr>
          <w:trHeight w:hRule="exact" w:val="429"/>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203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подготовка, проведение и обеспечено участие российской сборной в чемпионатах по профессиональному мастерству, проводимых международной организацией "WorldSkills International"</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2 381,14</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4 583,68</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2 381,14</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1 101,27</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4 583,68</w:t>
            </w:r>
          </w:p>
        </w:tc>
      </w:tr>
      <w:tr>
        <w:trPr>
          <w:trHeight w:hRule="exact" w:val="975"/>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w:t>
            </w:r>
          </w:p>
        </w:tc>
      </w:tr>
      <w:tr>
        <w:trPr>
          <w:trHeight w:hRule="exact" w:val="430"/>
        </w:trPr>
        <w:tc>
          <w:tcPr>
            <w:tcW w:w="100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917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43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6"/>
        </w:trPr>
        <w:tc>
          <w:tcPr>
            <w:tcW w:w="100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43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29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8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444"/>
        </w:trPr>
        <w:tc>
          <w:tcPr>
            <w:tcW w:w="100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по федеральному проекту, в том числе:</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26 901,24</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23 673,89</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23 643,39</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23 865,39</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23 865,39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23 885,79</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145 835,09</w:t>
            </w:r>
          </w:p>
        </w:tc>
      </w:tr>
      <w:tr>
        <w:trPr>
          <w:trHeight w:hRule="exact" w:val="444"/>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26 757,03</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23 571,46</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23 541,76</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23 763,76</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23 763,76</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23 783,76</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145 181,50</w:t>
            </w:r>
          </w:p>
        </w:tc>
      </w:tr>
      <w:tr>
        <w:trPr>
          <w:trHeight w:hRule="exact" w:val="717"/>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из них межбюджетные трансферты</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бюджетам субъекта</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5 273,72</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731,80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8 932,70</w:t>
            </w:r>
          </w:p>
        </w:tc>
      </w:tr>
      <w:tr>
        <w:trPr>
          <w:trHeight w:hRule="exact" w:val="716"/>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фондов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из них межбюджетные трансферты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бюджетам субъекта</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Российской Федерации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5 417,93</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834,23</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833,43</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833,43</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833,43</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833,83</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9 586,29</w:t>
            </w:r>
          </w:p>
        </w:tc>
      </w:tr>
      <w:tr>
        <w:trPr>
          <w:trHeight w:hRule="exact" w:val="716"/>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из них межбюджетные трансферты в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федеральный бюджет</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501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90"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8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1 600,00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9 600,00</w:t>
            </w:r>
          </w:p>
        </w:tc>
      </w:tr>
      <w:tr>
        <w:trPr>
          <w:trHeight w:hRule="exact" w:val="430"/>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w:t>
            </w:r>
          </w:p>
        </w:tc>
      </w:tr>
      <w:tr>
        <w:trPr>
          <w:trHeight w:hRule="exact" w:val="144"/>
        </w:trPr>
        <w:tc>
          <w:tcPr>
            <w:tcW w:w="860" w:type="dxa"/>
            <w:gridSpan w:val="3"/>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4758" w:type="dxa"/>
            <w:gridSpan w:val="43"/>
            <w:vAlign w:val="center"/>
            <w:shd w:val="clear" w:color="auto" w:fill="auto"/>
          </w:tcPr>
          <w:p/>
        </w:tc>
      </w:tr>
      <w:tr>
        <w:trPr>
          <w:trHeight w:hRule="exact" w:val="429"/>
        </w:trPr>
        <w:tc>
          <w:tcPr>
            <w:tcW w:w="15618" w:type="dxa"/>
            <w:gridSpan w:val="46"/>
            <w:vAlign w:val="center"/>
            <w:tcBorders>
              <w:bottom w:val="single" w:sz="5" w:space="0" w:color="000000"/>
            </w:tcBorders>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5. Участники федерального проекта</w:t>
            </w:r>
          </w:p>
          <w:p/>
        </w:tc>
      </w:tr>
      <w:tr>
        <w:trPr>
          <w:trHeight w:hRule="exact" w:val="573"/>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43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Роль в проекте</w:t>
            </w:r>
          </w:p>
        </w:tc>
        <w:tc>
          <w:tcPr>
            <w:tcW w:w="3009"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Фамилия, инициалы</w:t>
            </w:r>
          </w:p>
        </w:tc>
        <w:tc>
          <w:tcPr>
            <w:tcW w:w="329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Должность</w:t>
            </w:r>
          </w:p>
        </w:tc>
        <w:tc>
          <w:tcPr>
            <w:tcW w:w="286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Непосредственный руководитель</w:t>
            </w:r>
          </w:p>
        </w:tc>
        <w:tc>
          <w:tcPr>
            <w:tcW w:w="229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Занятость в проекте</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(процентов)</w:t>
            </w:r>
          </w:p>
        </w:tc>
      </w:tr>
      <w:tr>
        <w:trPr>
          <w:trHeight w:hRule="exact" w:val="287"/>
        </w:trPr>
        <w:tc>
          <w:tcPr>
            <w:tcW w:w="7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43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3009"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329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86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29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r>
      <w:tr>
        <w:trPr>
          <w:trHeight w:hRule="exact" w:val="43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Проведен Мировой чемпионат по профессиональному мастерству по стандартам Ворлдскиллс в 2019 году в г. Казани</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71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 менее 25%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246"/>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Наумова Н.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руководителя Федеральной службы по надзору в сфере образования и науки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Кравцов С. С.</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43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Создано 100 центров опережающей профессиональной подготовки</w:t>
            </w:r>
          </w:p>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29"/>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Создано 5000 мастерских, оснащенных современной материально-технической базой по одной из компетенций</w:t>
            </w:r>
          </w:p>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профессиональной образовательной организации, в том числе в обновлении образовательных программ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203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Рожков А. И.</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посредством привлечения к этой деятельности специалистов-практиков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203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Рожков А. И.</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w:t>
            </w:r>
          </w:p>
        </w:tc>
      </w:tr>
      <w:tr>
        <w:trPr>
          <w:trHeight w:hRule="exact" w:val="1762"/>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Маслова М. С.</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оплаты труда, трудовых отношений и социального партнерства Министерства труда и социальной защиты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Топилин М. А.</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Обновлены перечень профессий рабочих, должностей служащих, по которым осуществляется профессиональное обучение, перечни профессий и специальностей среднего профессионального образования, на основе актуализации Справочника профессий. Обновлены федеральные государственные стандарты среднего профессионального образования </w:t>
            </w:r>
          </w:p>
          <w:p/>
        </w:tc>
      </w:tr>
      <w:tr>
        <w:trPr>
          <w:trHeight w:hRule="exact" w:val="1763"/>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Маслова М. С.</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оплаты труда, трудовых отношений и социального партнерства Министерства труда и социальной защиты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Топилин М. А.</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246"/>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Наумова Н.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руководителя Федеральной службы по надзору в сфере образования и науки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Кравцов С. С.</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717"/>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203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Рожков А. И.</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w:t>
            </w:r>
          </w:p>
        </w:tc>
      </w:tr>
      <w:tr>
        <w:trPr>
          <w:trHeight w:hRule="exact" w:val="716"/>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Обновлена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w:t>
            </w:r>
          </w:p>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762"/>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Михеев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государственной политики в сфере воспитания, дополнительного образования и детского отдыха Министерства просвещения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71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203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Рожков А. И.</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1763"/>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Маслова М. С.</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оплаты труда, трудовых отношений и социального партнерства Министерства труда и социальной защиты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Топилин М. А.</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w:t>
            </w:r>
          </w:p>
        </w:tc>
      </w:tr>
      <w:tr>
        <w:trPr>
          <w:trHeight w:hRule="exact" w:val="716"/>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 менее 70%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вовлечены в различные формы наставничества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203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Рожков А. И.</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 менее 35 тыс. преподавателей (мастеров производственного обучения) прошли повышение квалификации по программам, основанным на опыте Союза Ворлдскиллс Россия, из них не менее 10 тыс. преподавателей (мастеров производственного обучения) сертифицированы в качестве экспертов Ворлдскиллс</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71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Реализуются мероприятия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24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Проведена ротация и конкурсный отбор университетов, получающих государственную поддержку в целях повышения их конкурентоспособности среди ведущих мировых научно-образовательных центров (далее соответственно - ведущие университеты, глобальная конкурентоспособность), не менее 30 университетов получают государственную поддержку (не менее 1 в каждом федеральном округе и не менее чем в 10 субъектах Российской Федерации); сформированы (актуализированы) их программы развития ("дорожные карты") с учетом национальных целей Российской Федерации до 2024 года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548"/>
        </w:trPr>
        <w:tc>
          <w:tcPr>
            <w:tcW w:w="15618" w:type="dxa"/>
            <w:gridSpan w:val="46"/>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2024 году каждый ведущий университет (не менее 30), получающий государственную поддержку в целях повышения своей глобальной конкурентоспособности, обеспечивает достижение следующих показателей: - вхождение не менее двух лет подряд в топ-1000 глобальных институциональных рейтингов; - вхождение не менее двух лет подряд в топ-200 как минимум одного предметного или отраслевого глобального рейтинга; - размещение не менее 10 открытых онлайн-курсов на международных платформах онлайн-образования с общим числом слушателей по каждому курсу не менее 5000 не менее чем из 5 стран; - доля научно-педагогических работников в возрасте до 35 лет составляет не менее 20% от общего числа научно-педагогических работников; - доля студентов, поступивших на обучение по программам магистратуры и имеющих высшее образование, полученное в других образовательных организациях высшего образования, составляет не менее 30% от общего числа поступивших в магистратуру; - общий конкурс по университету при приеме на обучение по программам магистратуры составляет не менее 3 человек на место; - не менее 40% выпускников по программам аспирантуры защищают диссертации на соискание ученой степени кандидата наук (или ее зарубежных аналогов) не позднее года с момента завершения обучения; - сформирован фонд целевого капитала; -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 </w:t>
            </w:r>
          </w:p>
          <w:p/>
        </w:tc>
      </w:tr>
      <w:tr>
        <w:trPr>
          <w:trHeight w:hRule="exact" w:val="1533"/>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71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Разработан и внедрен механизм присвоения категории "национальный исследовательский университет" образовательным организациям высшего образования и регулярного подтверждения присвоенной категории</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Сформирован перечень, включающий не менее 80 образовательных организаций высшего образования не менее чем из 40 субъектов Российской Федерации, обеспечивающих подготовку кадров для базовых отраслей экономики и социальной сферы, в том числе в целях предоставления государственной поддержки</w:t>
            </w:r>
          </w:p>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805"/>
        </w:trPr>
        <w:tc>
          <w:tcPr>
            <w:tcW w:w="15618" w:type="dxa"/>
            <w:gridSpan w:val="46"/>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2024 году каждая образовательная организация высшего образования (не менее 80), обеспечивающая подготовку кадров для базовых отраслей экономики и социальной сферы, достигает следующих показателей: - совместно с партнерами реального сектора экономики разрабатывает адаптивные, практико-ориентированные и гибкие образовательные программы высшего образования, которые обеспечивают получение студентами профессиональных компетенций, отвечающих актуальным требования рынка труда, в том числе в области цифровой экономики, предпринимательства, командной и проектной работы, здоровьесбережения применительно к их будущим областям профессиональной деятельности; - не менее 70% научно-педагогических работников постоянно обновляют свои профессиональные знания и компетенции на основе актуальных достижений науки и технологий, современных профессиональных требований, перспективных задач отрасли; - не менее 70% работников из числа профессорско-преподавательского состава участвуют в исследованиях и разработках по вопросам, относящимся к предмету преподавания, привлекают к этим исследованиям обучающихся; - наличие программ развития, разработанных совместно с органами государственной власти субъектов Российской Федерации, предусматривающих в том числе трудоустройство выпускников в данных субъектах Российской Федерации (за исключением городов Москвы и Санкт-Петербурга); - не менее 10% выпускников трудоустраиваются на основе договора о целевом обучении (за исключением городов Москвы и Санкт-Петербурга); - сформирован фонд целевого капитала; -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 </w:t>
            </w:r>
          </w:p>
          <w:p/>
        </w:tc>
      </w:tr>
      <w:tr>
        <w:trPr>
          <w:trHeight w:hRule="exact" w:val="1806"/>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w:t>
            </w:r>
          </w:p>
        </w:tc>
      </w:tr>
      <w:tr>
        <w:trPr>
          <w:trHeight w:hRule="exact" w:val="2551"/>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 конкурсной основе ежегодно отбирается не менее 30 научно-педагогических работников из университетов, входящих в топ-200 предметных глобальных рейтингов, которым предоставляются гранты для: - разработки передовых образовательных программ высшего образования и их отдельных частей (рабочих программ, модулей, курсов и т.д.) по приоритетным направлениям подготовки кадров, специальностям с учетом запросов партнеров реального сектора экономики и мировых научно-технологических трендов; - тиражирования данных образовательных программ (образовательного контента) не менее чем в 30 российских образовательных организациях высшего образования и научных организациях (за исключением организаций, расположенных в Москве и Санкт-Петербурге), в том числе с использованием механизмов сетевой формы реализации образовательных программ; - повышения квалификации и стажировки научно-педагогических работников не менее чем в 30 российских образовательных организаций высшего образования и научных организаций (за исключением организаций, расположенных в Москве и Санкт-Петербурге) в целях дальнейшей реализации ими данных образовательных программ (образовательного контента).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Обеспечен свободный доступ (бесплатный для пользователей) по принципу "одного окна" для всех категорий граждан, обучающихся по образовательным программам высшего образования и дополнительным профессиональным программам, к онлайн-курсам, реализуемым различными организациями, осуществляющими образовательную деятельность, и образовательными платформами.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716"/>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Обеспечена возможность формирования индивидуальных портфолио обучающихся на созданной платформе "Современная цифровая образовательная среда", в том числе за счет использования набора сервисных и интеграционных решений</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58</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2024 году не менее 20% обучающихся по образовательным программам высшего образования осваивают отдельные курсы, дисциплины (модули), в том числе в формате онлайн-курсов, с использованием ресурсов иных организаций, осуществляющих образовательную деятельность, в том числе университетов, обеспечивающих соответствие качества подготовки обучающихся мировому уровню </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2024 году не менее 15% научно-педагогических работников университетов, входящих в топ-500 глобальных институциональных рейтингов, участвуют в реализации образовательных программ других организаций, осуществляющих образовательную деятельность по образовательным программам высшего образования, в том числе посредством онлайн-курсов</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71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Внедрена система мониторинга трудоустройства выпускников организаций, осуществляющих образовательную деятельность по образовательным программам высшего образования, учитывающая удовлетворенность работодателей качеством подготовки выпускников.</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59</w:t>
            </w:r>
          </w:p>
        </w:tc>
      </w:tr>
      <w:tr>
        <w:trPr>
          <w:trHeight w:hRule="exact" w:val="43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Реализованы общесистемные механизмы (не менее 2) повышения глобальной конкурентоспособности российского высшего образования</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5"/>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Боровская М.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 науки и высшего образования Российской Федерации</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Котюков М. М.</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716"/>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Проведена подготовка, проведение и обеспечено участие российской сборной в чемпионатах по профессиональному мастерству, проводимых международной организацией "WorldSkills International"</w:t>
            </w:r>
          </w:p>
          <w:p/>
        </w:tc>
      </w:tr>
      <w:tr>
        <w:trPr>
          <w:trHeight w:hRule="exact" w:val="974"/>
        </w:trPr>
        <w:tc>
          <w:tcPr>
            <w:tcW w:w="71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w:t>
            </w:r>
          </w:p>
        </w:tc>
        <w:tc>
          <w:tcPr>
            <w:tcW w:w="343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федерального проекта</w:t>
            </w:r>
          </w:p>
        </w:tc>
        <w:tc>
          <w:tcPr>
            <w:tcW w:w="300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Черноскутова И. А.</w:t>
            </w:r>
          </w:p>
        </w:tc>
        <w:tc>
          <w:tcPr>
            <w:tcW w:w="3295" w:type="dxa"/>
            <w:gridSpan w:val="1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Директор департамента</w:t>
            </w:r>
          </w:p>
        </w:tc>
        <w:tc>
          <w:tcPr>
            <w:tcW w:w="2866"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Васильева О. Ю.</w:t>
            </w:r>
          </w:p>
        </w:tc>
        <w:tc>
          <w:tcPr>
            <w:tcW w:w="229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r>
      <w:tr>
        <w:trPr>
          <w:trHeight w:hRule="exact" w:val="559"/>
        </w:trPr>
        <w:tc>
          <w:tcPr>
            <w:tcW w:w="15618" w:type="dxa"/>
            <w:gridSpan w:val="46"/>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6. Дополнительная информация</w:t>
            </w:r>
          </w:p>
        </w:tc>
      </w:tr>
      <w:tr>
        <w:trPr>
          <w:trHeight w:hRule="exact" w:val="14"/>
        </w:trPr>
        <w:tc>
          <w:tcPr>
            <w:tcW w:w="15618" w:type="dxa"/>
            <w:gridSpan w:val="46"/>
            <w:tcBorders>
              <w:bottom w:val="single" w:sz="5" w:space="0" w:color="000000"/>
            </w:tcBorders>
          </w:tcPr>
          <w:p/>
        </w:tc>
      </w:tr>
      <w:tr>
        <w:trPr>
          <w:trHeight w:hRule="exact" w:val="2866"/>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902" w:type="dxa"/>
            <w:gridSpan w:val="4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Учитывается количество вузов, вошедших в ТОП-500 глобальных рейтингов QS, THE, ARWU (без учета предметных рейтингов)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Глоссарий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1. Демонстрационный экзамен по стандартам Ворлдскиллс - это форма государственной итоговой аттестации выпускников по программам среднего профессионального образования образовательных организаций высшего и среднего профессионального образования, которая предусматривает:</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моделирование реальных производственных условий для демонстрации выпускниками профессиональных умений и навыков;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независимую экспертную оценку выполнения заданий демонстрационного экзамена, в том числе экспертами из числа представителей предприятий;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определение уровня знаний, умений и навыков выпускников в соответствии с международными требованиями.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Демонстрационный экзамен по стандартам Ворлдскиллс Россия проводится с целью определения у студентов и выпускников уровня знаний, умений, навыков, позволяющих вести профессиональную деятельность в определенной сфере и (или) выполнять работу по конкретным профессии или специальности в соответствии со стандартами Ворлдскиллс Россия.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2. Всероссийский учебно-тренировочный центр профессионального мастерства и популяризации рабочих профессий на базе Всероссийского детского центра "Смена" - учебно-тренировочная площадка, представляющая</w:t>
            </w:r>
            <w:r>
              <w:rPr>
                <w:sz w:val="10"/>
                <w:szCs w:val="10"/>
                <w:rFonts w:ascii="times new roman" w:hAnsi="times new roman" w:eastAsia="times new roman" w:cs="times new roman"/>
                <w:spacing w:val="-2"/>
              </w:rPr>
              <w:t xml:space="preserve">  </w:t>
            </w:r>
            <w:r>
              <w:rPr>
                <w:sz w:val="10"/>
                <w:szCs w:val="10"/>
                <w:rFonts w:ascii="times new roman" w:hAnsi="times new roman" w:eastAsia="times new roman" w:cs="times new roman"/>
                <w:spacing w:val="-2"/>
              </w:rPr>
              <w:t xml:space="preserve">программы и методики в области ранней профориентации, повышения интереса детей к трудовой деятельности, программы интенсивного погружения студентов образовательных организаций среднего профессионального образования в профессию, программы подготовки членов Национальной сборной WorldSkills Russia, направленные на развитие навыков у конкурсантов, необходимых для успешного участия в чемпионатах профессионального мастерства российского и международного уровня. Центр создан во исполнение Поручения Президента Российской Федерации от 21 сентября 2015 г. № Пр-1921 и на основании утвержденной 13 января 2017 г.</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3. Эксперт Ворлдскиллс - сертифицированный эксперт Ворлдскиллс Россия, прошедший обучение по стандартам Ворлдскиллс и соответствующий иным требованиям сертификации экспертов Вордлскиллс, утвержденных Приказом генерального директора Союза "Агентство развития профессиональных сообществ и рабочих кадров "Молодые профессионалы (Ворлдскиллс Россия)".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4. Центры опережающей профессиональной подготовки - самостоятельные организации или структурные подразделения существующих организаций, реализующих образовательные программы среднего профессионального образования или другие образовательные организации, обеспечивающие реализацию в субъекте Российской Федерации следующих задач:</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использования совместно с другими профессиональными образовательными организациями современного оборудования для подготовки, переподготовки и повышения квалификации граждан по наиболее востребованным и перспективным профессиям;</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реализации программ повышения квалификации педагогов и мастеров производственного обучения профессиональных образовательных организаций;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проведения демонстрационного экзамена по стандартам "Ворлдскиллс" для лиц, освоивших образовательные программы среднего профессионального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осуществления мероприятий по профессиональной ориентации лиц, обучающихся в общеобразовательных организациях, а также обучения их первой профессии.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Центр опережающей профессиональной подготовки - ситуационный центр системы профессиональной подготовки, выполняет функции по аудиту состояния региональных системы профессиональной подготовки, мониторингу потребности в кадрах, определяет наиболее востребованные профессии в регионах, оценке качества подготовки к проведению демонстрационного экзамена "Ворлдскиллс", обеспечивает выявление и распространение лучших практик профессиональной подготовки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Федеральный проект "Молодые профессионалы" в части обеспечения цели "Повышение конкурентоспособности профессионального образования" включает реализацию ряда значимых мероприятий, в том числе модернизацию профессионального образования посредством внедрения адаптивных, практико-ориентированных и гибких образовательных программ, а также обновление материально-технической базы.</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Модернизация среднего профессионального образования: в рамках реализации федерального проекта будут проведены мировой чемпионат по профессиональному мастерству по стандартам Ворлдскиллс в 2019 году в г. Казани. Будут обновлены федеральные государственные образовательные стандарты в соответствии с разработанным и утвержденным перечнем приоритетных направлений подготовки обучающихся, а также опытом Союза Ворлдскиллс России. С учетом опыта движения Ворлдскиллс будет также сформирована совместно с работодателями региональная целевая модель развития системы профессионального образования. </w:t>
            </w:r>
          </w:p>
          <w:p>
            <w:pPr>
              <w:rPr>
                <w:rFonts w:ascii="Times New Roman" w:hAnsi="Times New Roman" w:eastAsia="Times New Roman" w:cs="Times New Roman"/>
                <w:color w:val="000000"/>
                <w:sz w:val="24"/>
                <w:spacing w:val="-2"/>
              </w:rPr>
              <w:spacing w:line="230"/>
            </w:pPr>
          </w:p>
          <w:p/>
        </w:tc>
      </w:tr>
      <w:tr>
        <w:trPr>
          <w:trHeight w:hRule="exact" w:val="286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4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0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4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05"/>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4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61</w:t>
            </w:r>
          </w:p>
        </w:tc>
      </w:tr>
      <w:tr>
        <w:trPr>
          <w:trHeight w:hRule="exact" w:val="2865"/>
        </w:trPr>
        <w:tc>
          <w:tcPr>
            <w:tcW w:w="716"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902" w:type="dxa"/>
            <w:gridSpan w:val="4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Для достижения показателей федерального проекта будет модернизирована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 Также к 31 декабря 2024 г. будет создана сеть из 100 центров опережающей профессиональной подготовки, в которых с привлечением кадровых и материально-технических ресурсов всех профессиональных организаций реализуются программы в формате индивидуальных учебных планов, и 5000 мастерских, оснащенных в соответствии с современными требованиями по одной из компетенций, в том числе для сдачи демонстрационного экзамена с учетом опыта Союза Ворлдскиллс России, с охватом более 1500 тыс. обучающихся.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К концу 2024 года в 50% профессиональных образовательных организаций государственная итоговая аттестация и промежуточная аттестация обучающихся будет проводиться в форме демонстрационного экзамена с учетом опыта Ворлдскиллс, что поможет существенно повысить уровень профессионального образования в Российской Федерации.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В системе среднего профессионального образования активное развитие получит наставничество за счет разработки соответствующей методологии и привлечения к этой деятельности специалистов-практиков.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Федеральный проект "Молодые профессионалы (Повышение конкурентоспособности профессионального образования)" в части "Глобальная конкурентоспособность высшего образования" национального проекта "Образование" будет реализовываться в рамках государственной программы Российской Федерации "Научно-технологическое развитие Российской Федерации", разрабатываемой Министерством науки и высшего образования Российской Федерации в соответствии с поручением Президента Российской Федерации по итогам заседания Совета при Президенте Российской Федерации по науке и образованию 23 ноября 2016 г. от 15 января 2017 г. № Пр-75 и поручением Правительства Российской Федерации от 24 августа 2018 г. № ТГ-П8-5529.</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Положения федерального проекта, касающиеся развития сети образовательных организаций высшего образования, являются продолжением инициатив, реализованных в 2006 - 2010 годах в рамках приоритетного национального проекта "Образование", Указа Президента Российской Федерации от 7 мая 2012 г. № 599, а также поручений Президента Российской Федерации и Правительства Российской Федерации.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Перечень поручений Президента Российской Федерации и Правительства Российской Федерации, которые являются основанием для мероприятий федерального проекта: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1. Перечень поручений Правительства Российской Федерации от 12 июля 2018 г. № ДМ-П8-4182.</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2. Указание Президента Российской Федерации от 18 декабря 2016 г. № Пр-2498.</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3. Поручения Правительства Российской Федерации от 14 октября 2010 г. № ВП-П8-7062, п. 1 и от 8 апреля 2015 г.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 ОГ-П8-2287</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4. Указание Президента Российской Федерации от 31 декабря 2017 г. № Пр-2721; поручения Правительства Российской Федерации от 21 декабря 2017 г. № ОГ-П8-8561, от 16 января 2018 г. № ОГ-П8-128.</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За разработку методики расчета показателя 4 ответственным федеральным органом исполнительной власти является Минкомсвязь России.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Финансовое обеспечение программ развития специализированных учебно-научных центров предусмотрено в рамках федерального проекта "Развитие научной и научно-производственной кооперации" национального проекта "Наука".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10"/>
                <w:szCs w:val="10"/>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184"/>
            </w:pPr>
          </w:p>
          <w:p/>
        </w:tc>
      </w:tr>
      <w:tr>
        <w:trPr>
          <w:trHeight w:hRule="exact" w:val="2020"/>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4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06"/>
        </w:trPr>
        <w:tc>
          <w:tcPr>
            <w:tcW w:w="71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4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62</w:t>
            </w:r>
          </w:p>
        </w:tc>
      </w:tr>
      <w:tr>
        <w:trPr>
          <w:trHeight w:hRule="exact" w:val="573"/>
        </w:trPr>
        <w:tc>
          <w:tcPr>
            <w:tcW w:w="11462" w:type="dxa"/>
            <w:gridSpan w:val="31"/>
          </w:tcPr>
          <w:p/>
        </w:tc>
        <w:tc>
          <w:tcPr>
            <w:tcW w:w="4156" w:type="dxa"/>
            <w:gridSpan w:val="15"/>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ПРИЛОЖЕНИЕ №2</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паспорту федерального проекта</w:t>
            </w:r>
          </w:p>
        </w:tc>
      </w:tr>
      <w:tr>
        <w:trPr>
          <w:trHeight w:hRule="exact" w:val="573"/>
        </w:trPr>
        <w:tc>
          <w:tcPr>
            <w:tcW w:w="11462" w:type="dxa"/>
            <w:gridSpan w:val="31"/>
          </w:tcPr>
          <w:p/>
        </w:tc>
        <w:tc>
          <w:tcPr>
            <w:tcW w:w="4156" w:type="dxa"/>
            <w:gridSpan w:val="15"/>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Молодые профессионалы</w:t>
            </w:r>
          </w:p>
        </w:tc>
      </w:tr>
      <w:tr>
        <w:trPr>
          <w:trHeight w:hRule="exact" w:val="573"/>
        </w:trPr>
        <w:tc>
          <w:tcPr>
            <w:tcW w:w="15618" w:type="dxa"/>
            <w:gridSpan w:val="46"/>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Показатели федерального проекта по субъектам Российской Федерации</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4"/>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центров опережающей профессиональной подготовки накопительным итогом Единица</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Дальневосточный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Амурская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Еврейская автономная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Забайкальский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Камчатский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Магаданская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Приморский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Бурятия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Саха (Якутия)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Сахалинская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Хабаровский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Чукотский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Приволжский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Кировская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Нижегородская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Оренбургская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Пензенская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Пермский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Башкортостан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Марий Эл</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Мордовия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Татарстан (Татарстан)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Самарская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Саратовская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64</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Удмуртская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Ульяновская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Чувашская Республика - Чувашия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Северо-Западный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Архангельская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Вологодская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Санкт-Петербург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Калининградская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Ленинградская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Мурманская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Карелия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65</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Коми</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Северо-Кавказский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Кабардино-Балкарская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Карачаево-Черкесская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Дагестан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Ингушетия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Северная Осетия - Алания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Ставропольский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Чеченская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Сибирский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Алтайский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Иркутская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Кемеровская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w:t>
            </w:r>
          </w:p>
        </w:tc>
      </w:tr>
      <w:tr>
        <w:trPr>
          <w:trHeight w:hRule="exact" w:val="429"/>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Красноярский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Новосибирская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Алтай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Тыва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Хакасия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Уральский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Курганская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Свердловская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Тюменская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Ханты-Мансийский автономный округ - Югра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Челябинская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Ямало-Ненецкий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67</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Центральный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Белгородская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Брянская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Владимирская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Воронежская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Москва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Ивановская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Калужская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Костромская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Липецкая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Московская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Рязанская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Смоленская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Тамбовская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Тверская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Тульская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Ярославская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Южный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Астраханская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Волгоградская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Севастополь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Краснодарский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Адыгея (Адыгея)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Калмыкия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Крым</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Ростовская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Дальневосточный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Амурская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Еврейская автономная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Забайкальский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Камчатский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Магаданская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Приморский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Бурятия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Саха (Якутия)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Сахалинская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Хабаровский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7,8000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Чукотский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Приволжский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Кировская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0,7000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Нижегородская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Оренбургская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Пензенская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0,8000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Пермский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Башкортостан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Марий Эл</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Мордовия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Татарстан (Татарстан)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Самарская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Саратовская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Удмуртская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Ульяновская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71</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Чувашская Республика - Чувашия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Северо-Западный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Архангельская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0,2400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0,8300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Вологодская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Санкт-Петербург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10,8000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Калининградская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Ленинградская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Мурманская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Карелия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Коми</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0,7000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72</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Северо-Кавказский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Кабардино-Балкарская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Карачаево-Черкесская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0,6000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0,8000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Дагестан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Ингушетия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Северная Осетия - Алания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Ставропольский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Чеченская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Сибирский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Алтайский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Иркутская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Кемеровская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Красноярский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Новосибирская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Алтай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Тыва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Хакасия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Уральский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Курганская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Свердловская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Тюменская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Ханты-Мансийский автономный округ - Югра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Челябинская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Ямало-Ненецкий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Центральный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Белгородская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Брянская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23,4000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34,3000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38,2000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Владимирская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Воронежская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Москва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Ивановская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0,0600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Калужская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Костромская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Липецкая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Московская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Рязанская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29"/>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Смоленская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Тамбовская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Тверская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Тульская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Ярославская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Южный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Астраханская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Волгоградская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Севастополь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Краснодарский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Адыгея (Адыгея)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Калмыкия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Крым</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Ростовская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01.09.2018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76</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7"/>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Дальневосточный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Амурская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Еврейская автономная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Забайкальский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Камчатский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Магаданская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12,5000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Приморский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Бурятия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Саха (Якутия)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Сахалинская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Хабаровский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Чукотский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77</w:t>
            </w:r>
          </w:p>
        </w:tc>
      </w:tr>
      <w:tr>
        <w:trPr>
          <w:trHeight w:hRule="exact" w:val="429"/>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Приволжский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Кировская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Нижегородская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Оренбургская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Пензенская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Пермский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Башкортостан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Марий Эл</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Мордовия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14,3000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21,8000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36,2000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45,4000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Татарстан (Татарстан)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Самарская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Саратовская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Удмуртская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Ульяновская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78</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Чувашская Республика - Чувашия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18,5000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Северо-Западный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Архангельская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1,9600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6,2500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Вологодская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Санкт-Петербург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Калининградская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Ленинградская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Мурманская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Карелия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Коми</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Северо-Кавказский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Кабардино-Балкарская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Карачаево-Черкесская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Дагестан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Ингушетия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Северная Осетия - Алания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Ставропольский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Чеченская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Сибирский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Алтайский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Иркутская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Кемеровская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Красноярский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w:t>
            </w:r>
          </w:p>
        </w:tc>
      </w:tr>
      <w:tr>
        <w:trPr>
          <w:trHeight w:hRule="exact" w:val="429"/>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Новосибирская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Алтай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12,5000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37,5000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Тыва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Хакасия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Уральский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Курганская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Свердловская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Тюменская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Ханты-Мансийский автономный округ - Югра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Челябинская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Ямало-Ненецкий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87,5000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81</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Центральный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Белгородская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Брянская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33,3000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Владимирская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Воронежская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Москва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Ивановская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Калужская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Костромская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Липецкая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Московская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0,5000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Рязанская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82</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Смоленская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Тамбовская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Тверская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Тульская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37,7000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42,2000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44,4000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48,8000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51,1000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Ярославская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Южный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Астраханская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Волгоградская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Севастополь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Краснодарский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Адыгея (Адыгея)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22,2000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55,5000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55,5000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55,5000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55,5000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Калмыкия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Крым</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Ростовская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10,8000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w:t>
            </w:r>
          </w:p>
        </w:tc>
      </w:tr>
      <w:tr>
        <w:trPr>
          <w:trHeight w:hRule="exact" w:val="429"/>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7"/>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мастерских, оснащенных современной материально- технической базой по одной из компетенций накопительным итогом Единица</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Дальневосточный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Амурская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Еврейская автономная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Забайкальский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Камчатский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Магаданская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Приморский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Бурятия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Саха (Якутия)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Сахалинская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Хабаровский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Чукотский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84</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Приволжский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Кировская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Нижегородская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133,0000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Оренбургская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Пензенская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Пермский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Башкортостан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Марий Эл</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Мордовия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Татарстан (Татарстан)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Самарская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Саратовская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Удмуртская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Ульяновская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Чувашская Республика - Чувашия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Северо-Западный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Архангельская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Вологодская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Санкт-Петербург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Калининградская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Ленинградская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Мурманская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Карелия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Коми</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86</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Северо-Кавказский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Кабардино-Балкарская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Карачаево-Черкесская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Дагестан</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Ингушетия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Северная Осетия - Алания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Ставропольский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Чеченская Республика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Сибирский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Алтайский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Иркутская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Кемеровская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Красноярский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Новосибирская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Алтай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Тыва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Хакасия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Уральский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Курганская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Свердловская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Тюменская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55,0000</w:t>
            </w:r>
          </w:p>
        </w:tc>
      </w:tr>
      <w:tr>
        <w:trPr>
          <w:trHeight w:hRule="exact" w:val="717"/>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Ханты-Мансийский автономный округ - Югра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Челябинская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Ямало-Ненецкий автономный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88</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Центральный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Белгородская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Брянская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Владимирская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Воронежская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Москва</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Ивановская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Калужская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Костромская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Курская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Липецкая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Московская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65,0000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Орловская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Рязанская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89</w:t>
            </w:r>
          </w:p>
        </w:tc>
      </w:tr>
      <w:tr>
        <w:trPr>
          <w:trHeight w:hRule="exact" w:val="430"/>
        </w:trPr>
        <w:tc>
          <w:tcPr>
            <w:tcW w:w="315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286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960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r>
      <w:tr>
        <w:trPr>
          <w:trHeight w:hRule="exact" w:val="286"/>
        </w:trPr>
        <w:tc>
          <w:tcPr>
            <w:tcW w:w="315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315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29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28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Смоленская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Тамбовская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Тверская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Тульская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Ярославская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Южный федеральный округ</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Астраханская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Волгоградская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716"/>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город федерального значения Севастополь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4"/>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Краснодарский край</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Адыгея (Адыгея)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Калмыкия</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Республика Крым</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r>
      <w:tr>
        <w:trPr>
          <w:trHeight w:hRule="exact" w:val="573"/>
        </w:trPr>
        <w:tc>
          <w:tcPr>
            <w:tcW w:w="315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Ростовская область</w:t>
            </w:r>
          </w:p>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57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433"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29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w:t>
            </w:r>
          </w:p>
        </w:tc>
        <w:tc>
          <w:tcPr>
            <w:tcW w:w="128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40,0000</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r>
      <w:tr>
        <w:trPr>
          <w:trHeight w:hRule="exact" w:val="430"/>
        </w:trPr>
        <w:tc>
          <w:tcPr>
            <w:tcW w:w="15618" w:type="dxa"/>
            <w:gridSpan w:val="46"/>
            <w:vAlign w:val="center"/>
            <w:tcBorders>
              <w:top w:val="single" w:sz="5" w:space="0" w:color="000000"/>
            </w:tcBorders>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ДОПОЛНИТЕЛЬНЫЕ И ОБОСНОВЫВАЮЩИЕ МАТЕРИАЛЫ</w:t>
            </w:r>
          </w:p>
        </w:tc>
      </w:tr>
      <w:tr>
        <w:trPr>
          <w:trHeight w:hRule="exact" w:val="430"/>
        </w:trPr>
        <w:tc>
          <w:tcPr>
            <w:tcW w:w="15618" w:type="dxa"/>
            <w:gridSpan w:val="46"/>
            <w:vAlign w:val="bottom"/>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федерального проекта</w:t>
            </w:r>
          </w:p>
        </w:tc>
      </w:tr>
      <w:tr>
        <w:trPr>
          <w:trHeight w:hRule="exact" w:val="716"/>
        </w:trPr>
        <w:tc>
          <w:tcPr>
            <w:tcW w:w="15618" w:type="dxa"/>
            <w:gridSpan w:val="46"/>
            <w:tcMar>
              <w:top w:w="287" w:type="dxa"/>
            </w:tcMar>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Молодые профессионалы</w:t>
            </w:r>
          </w:p>
        </w:tc>
      </w:tr>
      <w:tr>
        <w:trPr>
          <w:trHeight w:hRule="exact" w:val="573"/>
        </w:trPr>
        <w:tc>
          <w:tcPr>
            <w:tcW w:w="15618" w:type="dxa"/>
            <w:gridSpan w:val="46"/>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1.	Модель функционирования результатов и достижения показателей федерального проекта</w:t>
            </w:r>
          </w:p>
        </w:tc>
      </w:tr>
      <w:tr>
        <w:trPr>
          <w:trHeight w:hRule="exact" w:val="2866"/>
        </w:trPr>
        <w:tc>
          <w:tcPr>
            <w:tcW w:w="15618" w:type="dxa"/>
            <w:gridSpan w:val="46"/>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Федеральный проект "Молодые профессионалы (Повышение конкурентоспособности профессионального образования)" направлен на модернизацию профессионального образования посредством внедрения адаптивных, практико-ориентированных и гибких образовательных программ, а также обновление материально-технической базы.</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Результаты реализации настоящего федерального проекта окажут существенное влияние на модернизацию среднего профессионального образования, повышение уровня профессионального образования в Российской Федерации, а также обеспечит создание условий для глобальной конкурентоспособности российского образования, повышения производительности труда, обеспечения высокого качества обучения, направленных на улучшение качества жизни в каждом регионе.</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Модернизация среднего профессионального образования: в рамках реализации федерального проекта будут проведены мировой чемпионат по профессиональному мастерству по стандартам Ворлдскиллс в 2019 году в г. Казани. Будут обновлены федеральные государственные образовательные стандарты в соответствии с разработанным и утвержденным перечнем приоритетных направлений подготовки обучающихся, а также опытом Союза Ворлдскиллс России.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Для достижения показателей федерального проекта будет модернизирована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 Также к 31 декабря 2024 года будет создана сеть из 100 центров опережающей профессиональной подготовки, в которых с использованием кадровых и материально-технических ресурсов всех профессиональных организаций в первую очередь реализуются программы в формате индивидуальных учебных планов, и 5000 мастерских, оснащенных в соответствии с современным требованиями по одной из компетенций, в том числе для сдачи демонстрационного экзамена с учетом опыта Союза Ворлдскиллс России, с охватом более 1500 тыс. обучающихся.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 концу 2024 года в 50% профессиональных образовательных организаций государственная итоговая аттестация и промежуточная аттестация обучающихся будет проводиться в форме демонстрационного экзамена с учетом опыта Ворлдскиллс, что поможет существенно повысить уровень профессионального образования в Российской Федерации.</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системе среднего профессионального образования активное развитие получит наставничество за счет разработки методологии и привлечения к этой деятельности специалистов-практиков.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Федеральные проекты в сфере высшего образования, включенные в национальный проект "Образование", являются взаимоувязанным комплексом мер, ориентированных на достижение цели - обеспечение глобальной конкурентоспособности российского образования и целевого показателя национального </w:t>
            </w:r>
          </w:p>
          <w:p/>
        </w:tc>
      </w:tr>
      <w:tr>
        <w:trPr>
          <w:trHeight w:hRule="exact" w:val="2565"/>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64"/>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r>
      <w:tr>
        <w:trPr>
          <w:trHeight w:hRule="exact" w:val="2866"/>
        </w:trPr>
        <w:tc>
          <w:tcPr>
            <w:tcW w:w="15618" w:type="dxa"/>
            <w:gridSpan w:val="46"/>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проекта "Образование" - место России в мире по присутствию университетов в топ-500 глобальных рейтингов университетов.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Федеральный проект "Молодые профессионалы" в части высшего образования будет направлен на формирование сети университетов - национальных лидеров высшего образования.</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Университеты-лидеры проведут обновление содержания образовательных программ высшего образования за счет реализации реальных проектов в ходе обучения, решения профессиональных задач (практико- и проектно-ориентированные программы) в кооперации с работодателями, а также обеспечат переход на модульное построение образовательных программ с включением "коротких" программ (адаптивность и гибкость). Со стороны государства будут обеспечена технологическая инфраструктура онлайн-обучения, нормативная правовая база для использования онлайн-курсов и развития академической мобильности студентов. Также будут созданы условия для академической мобильности научно-педагогических работников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первую очередь внутрироссийской) и поддержаны лучшие практики. Системным эффектом от реализованных мероприятий будет являться повышение востребованности выпускников образовательных организаций высшего образования на рынке труда.</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Сеть национальных лидеров высшего образования будет включать более 100 университетов, из которых:</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 менее 30 университетов-лидеров будут входить в глобальные рейтинги, реализовывать прорывные НИОКР и востребованные на глобальном рынке образовательные программы;</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 менее 80 университетов будут решать задачи кадрового обеспечения базовых и высокотехнологичных отраслей экономики, технологического и социального развития регионов.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Формирование такой группы университетов обеспечит преемственность с уже реализованными инициативами в рамках формирования сети федеральных университетов, национальных исследовательских университетов, проекта по повышению глобальной конкурентоспособности и поддержке опорных университетов.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Ключевые задачи университетов-лидеров:</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 мировом уровне - обеспечить привлекательность для ученых мирового уровня и талантливых студентов со всего мира, достижение глобального лидерства в ключевых направлениях исследований, включая информационные технологии, биомедицину, наноматериалы, когнитивные исследования, участие в деятельности глобальных технологических платформ, генерация новых технологий,</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 национальном уровне - подготовка исследователей мирового класса, управленческой и инженерной элиты для высокотехнологичных производств, включая предприятия оборонного комплекса, проведение прорывных исследований и разработка ключевых технологий  в рамках стратегии научно технологического развития страны,</w:t>
            </w:r>
          </w:p>
          <w:p>
            <w:pPr>
              <w:rPr>
                <w:rFonts w:ascii="Times New Roman" w:hAnsi="Times New Roman" w:eastAsia="Times New Roman" w:cs="Times New Roman"/>
                <w:color w:val="000000"/>
                <w:sz w:val="24"/>
                <w:spacing w:val="-2"/>
              </w:rPr>
              <w:spacing w:line="230"/>
            </w:pP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на региональном уровне - подготовка кадров для территориально производственных кластеров, создание и внедрение технологических инноваций, пространственное и социальное развитие регионов  за счет нового уровня качества человеческого капитала, повышение качества жизни населения за счет широкой доступности образования  мирового уровня.</w:t>
            </w:r>
          </w:p>
          <w:p>
            <w:pPr>
              <w:rPr>
                <w:rFonts w:ascii="Times New Roman" w:hAnsi="Times New Roman" w:eastAsia="Times New Roman" w:cs="Times New Roman"/>
                <w:color w:val="000000"/>
                <w:sz w:val="24"/>
                <w:spacing w:val="-2"/>
              </w:rPr>
              <w:spacing w:line="230"/>
            </w:pPr>
          </w:p>
          <w:p/>
        </w:tc>
      </w:tr>
      <w:tr>
        <w:trPr>
          <w:trHeight w:hRule="exact" w:val="2865"/>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92"/>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91"/>
        </w:trPr>
        <w:tc>
          <w:tcPr>
            <w:tcW w:w="15618" w:type="dxa"/>
            <w:gridSpan w:val="46"/>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192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184"/>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184"/>
            </w:pPr>
            <w:r>
              <w:rPr>
                <w:sz w:val="24"/>
                <w:szCs w:val="24"/>
                <w:rFonts w:ascii="times new roman" w:hAnsi="times new roman" w:eastAsia="times new roman" w:cs="times new roman"/>
                <w:spacing w:val="-2"/>
              </w:rPr>
              <w:t xml:space="preserve">Ожидаемый результат - принципиальное повышение конкурентоспособности российской системы высшего образования в международном научно-образовательном пространстве, и как следствие - вхождение и устойчивое присутствие российских университетов в топ-500 мировых рейтингов.</w:t>
            </w: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184"/>
            </w:pPr>
            <w:r>
              <w:rPr>
                <w:sz w:val="24"/>
                <w:szCs w:val="24"/>
                <w:rFonts w:ascii="Times New Roman" w:hAnsi="Times New Roman" w:eastAsia="Times New Roman" w:cs="Times New Roman"/>
                <w:spacing w:val="-2"/>
              </w:rPr>
              <w:t xml:space="preserve"> </w:t>
            </w:r>
          </w:p>
          <w:p>
            <w:pPr>
              <w:rPr>
                <w:rFonts w:ascii="Times New Roman" w:hAnsi="Times New Roman" w:eastAsia="Times New Roman" w:cs="Times New Roman"/>
                <w:color w:val="000000"/>
                <w:sz w:val="24"/>
                <w:spacing w:val="-2"/>
              </w:rPr>
              <w:spacing w:line="184"/>
            </w:pPr>
          </w:p>
          <w:p>
            <w:pPr>
              <w:rPr>
                <w:rFonts w:ascii="Times New Roman" w:hAnsi="Times New Roman" w:eastAsia="Times New Roman" w:cs="Times New Roman"/>
                <w:color w:val="000000"/>
                <w:sz w:val="24"/>
                <w:spacing w:val="-2"/>
              </w:rPr>
              <w:spacing w:line="184"/>
            </w:pPr>
          </w:p>
          <w:p/>
        </w:tc>
      </w:tr>
      <w:tr>
        <w:trPr>
          <w:trHeight w:hRule="exact" w:val="573"/>
        </w:trPr>
        <w:tc>
          <w:tcPr>
            <w:tcW w:w="15618" w:type="dxa"/>
            <w:gridSpan w:val="46"/>
            <w:vAlign w:val="center"/>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2.	Методика расчета показателей федерального проекта</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429"/>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 Число центров опережающей профессиональной подготовки накопительным итогом</w:t>
            </w:r>
          </w:p>
        </w:tc>
      </w:tr>
      <w:tr>
        <w:trPr>
          <w:trHeight w:hRule="exact" w:val="717"/>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центров опережающей профессиональной подготовки, единиц</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Copp - Число центров опережающей профессиональной подготовки, ЕД</w:t>
            </w: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Формы федерального статистического наблюдения ПО, 1-ПК</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просвещения Российской Федерации</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 1 июня, следующего за отчетным годом</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2866" w:type="dxa"/>
            <w:gridSpan w:val="9"/>
            <w:vAlign w:val="center"/>
            <w:tcBorders>
              <w:top w:val="single" w:sz="5" w:space="0" w:color="000000"/>
              <w:left w:val="single" w:sz="5" w:space="0" w:color="000000"/>
              <w:right w:val="single" w:sz="5" w:space="0" w:color="000000"/>
            </w:tcBorders>
          </w:tcPr>
          <w:p>
            <w:pPr>
              <w:jc w:val="right"/>
            </w:pPr>
            <w:r>
              <w:rPr>
                <w:noProof/>
              </w:rPr>
              <w:drawing>
                <wp:inline distT="0" distB="0" distL="0" distR="0">
                  <wp:extent cx="1829055" cy="457583"/>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1829055" cy="457583"/>
                          </a:xfrm>
                          <a:prstGeom prst="rect">
                            <a:avLst/>
                          </a:prstGeom>
                        </pic:spPr>
                      </pic:pic>
                    </a:graphicData>
                  </a:graphic>
                </wp:inline>
              </w:drawing>
            </w:r>
          </w:p>
        </w:tc>
      </w:tr>
      <w:tr>
        <w:trPr>
          <w:trHeight w:hRule="exact" w:val="1490"/>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Copp - число созданных и функционирующих центров опережающей профессиональной подготовки</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859"/>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
        </w:tc>
      </w:tr>
      <w:tr>
        <w:trPr>
          <w:trHeight w:hRule="exact" w:val="716"/>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Zi -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w:t>
            </w:r>
          </w:p>
          <w:p>
            <w:pPr>
              <w:spacing w:line="230"/>
              <w:jc w:val="center"/>
              <w:rPr>
                <w:rFonts w:ascii="Times New Roman" w:hAnsi="Times New Roman" w:eastAsia="Times New Roman" w:cs="Times New Roman"/>
                <w:color w:val="000000"/>
                <w:sz w:val="24"/>
                <w:spacing w:val="-2"/>
              </w:rPr>
            </w:pP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Z - общее число обучающихся, завершающих обучение в организациях, осуществляющих образовательную деятельность по образовательным </w:t>
            </w: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Форма федерального статистического наблюдения</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образования и науки алтайского края</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 1 июня, следующего за отчетным годом</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2866" w:type="dxa"/>
            <w:gridSpan w:val="9"/>
            <w:vAlign w:val="center"/>
            <w:tcBorders>
              <w:top w:val="single" w:sz="5" w:space="0" w:color="000000"/>
              <w:left w:val="single" w:sz="5" w:space="0" w:color="000000"/>
              <w:right w:val="single" w:sz="5" w:space="0" w:color="000000"/>
            </w:tcBorders>
          </w:tcPr>
          <w:p>
            <w:pPr>
              <w:jc w:val="right"/>
            </w:pPr>
            <w:r>
              <w:rPr>
                <w:noProof/>
              </w:rPr>
              <w:drawing>
                <wp:inline distT="0" distB="0" distL="0" distR="0">
                  <wp:extent cx="1829055" cy="456945"/>
                  <wp:effectExtent l="0" t="0" r="0" b="0"/>
                  <wp:docPr id="3"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g"/>
                          <pic:cNvPicPr/>
                        </pic:nvPicPr>
                        <pic:blipFill>
                          <a:blip r:embed="rId6" cstate="print"/>
                          <a:stretch>
                            <a:fillRect/>
                          </a:stretch>
                        </pic:blipFill>
                        <pic:spPr>
                          <a:xfrm>
                            <a:off x="0" y="0"/>
                            <a:ext cx="1829055" cy="456945"/>
                          </a:xfrm>
                          <a:prstGeom prst="rect">
                            <a:avLst/>
                          </a:prstGeom>
                        </pic:spPr>
                      </pic:pic>
                    </a:graphicData>
                  </a:graphic>
                </wp:inline>
              </w:drawing>
            </w:r>
          </w:p>
        </w:tc>
      </w:tr>
      <w:tr>
        <w:trPr>
          <w:trHeight w:hRule="exact" w:val="286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Zi - число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в i-ом субъекте Российской Федерации, прошедших аттестацию с использованием механизма демонстрационного экзамена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Z - общее число обучающихся, завершающих обучение в организациях, осуществляющих образовательную деятельность по образовательным </w:t>
            </w:r>
          </w:p>
        </w:tc>
      </w:tr>
      <w:tr>
        <w:trPr>
          <w:trHeight w:hRule="exact" w:val="2020"/>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200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75"/>
        </w:trPr>
        <w:tc>
          <w:tcPr>
            <w:tcW w:w="57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программам среднего профессионального образования, ЧЕЛ</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программам среднего профессионального образования</w:t>
            </w:r>
          </w:p>
        </w:tc>
      </w:tr>
      <w:tr>
        <w:trPr>
          <w:trHeight w:hRule="exact" w:val="429"/>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 Количество российских университетов, входящих в глобальные рейтинги университетов, единиц</w:t>
            </w:r>
          </w:p>
        </w:tc>
      </w:tr>
      <w:tr>
        <w:trPr>
          <w:trHeight w:hRule="exact" w:val="717"/>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3</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российских университетов, входящих в глобальные рейтинги университетов, единиц</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Align w:val="center"/>
            <w:tcBorders>
              <w:top w:val="single" w:sz="5" w:space="0" w:color="000000"/>
              <w:left w:val="single" w:sz="5" w:space="0" w:color="000000"/>
              <w:right w:val="single" w:sz="5" w:space="0" w:color="000000"/>
            </w:tcBorders>
          </w:tcPr>
          <w:p/>
        </w:tc>
      </w:tr>
      <w:tr>
        <w:trPr>
          <w:trHeight w:hRule="exact" w:val="154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российских университетов, входящих в общие и предметные (отраслевые) рейтинги, публикуемые рейтинговыми агентствами QS, THE, ARWU. Каждый из российских университетов учитывается один раз.</w:t>
            </w:r>
          </w:p>
        </w:tc>
      </w:tr>
      <w:tr>
        <w:trPr>
          <w:trHeight w:hRule="exact" w:val="15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r>
      <w:tr>
        <w:trPr>
          <w:trHeight w:hRule="exact" w:val="717"/>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4</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Oi - число организаций, осуществляющих образовательную деятельность по образовательным программам среднего профессионального образования, в i-ом субъекте Российской Федерации, итоговая аттестация в которых проводится в форме демонстрационного экзамена, ЕД</w:t>
            </w:r>
          </w:p>
          <w:p>
            <w:pPr>
              <w:spacing w:line="230"/>
              <w:jc w:val="center"/>
              <w:rPr>
                <w:rFonts w:ascii="Times New Roman" w:hAnsi="Times New Roman" w:eastAsia="Times New Roman" w:cs="Times New Roman"/>
                <w:color w:val="000000"/>
                <w:sz w:val="24"/>
                <w:spacing w:val="-2"/>
              </w:rPr>
            </w:pP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O - общее число организаций, осуществляющих образовательную деятельность по образовательным программам среднего профессионального образования, ЕД</w:t>
            </w: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Форма федерального статистического наблюдения</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образования и науки алтайского края</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 1 июня, следующего за отчетным годом</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2866" w:type="dxa"/>
            <w:gridSpan w:val="9"/>
            <w:vAlign w:val="center"/>
            <w:tcBorders>
              <w:top w:val="single" w:sz="5" w:space="0" w:color="000000"/>
              <w:left w:val="single" w:sz="5" w:space="0" w:color="000000"/>
              <w:right w:val="single" w:sz="5" w:space="0" w:color="000000"/>
            </w:tcBorders>
          </w:tcPr>
          <w:p>
            <w:pPr>
              <w:jc w:val="right"/>
            </w:pPr>
            <w:r>
              <w:rPr>
                <w:noProof/>
              </w:rPr>
              <w:drawing>
                <wp:inline distT="0" distB="0" distL="0" distR="0">
                  <wp:extent cx="1829055" cy="457583"/>
                  <wp:effectExtent l="0" t="0" r="0" b="0"/>
                  <wp:docPr id="4" name="Picture 3" descr="Image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g"/>
                          <pic:cNvPicPr/>
                        </pic:nvPicPr>
                        <pic:blipFill>
                          <a:blip r:embed="rId7" cstate="print"/>
                          <a:stretch>
                            <a:fillRect/>
                          </a:stretch>
                        </pic:blipFill>
                        <pic:spPr>
                          <a:xfrm>
                            <a:off x="0" y="0"/>
                            <a:ext cx="1829055" cy="457583"/>
                          </a:xfrm>
                          <a:prstGeom prst="rect">
                            <a:avLst/>
                          </a:prstGeom>
                        </pic:spPr>
                      </pic:pic>
                    </a:graphicData>
                  </a:graphic>
                </wp:inline>
              </w:drawing>
            </w:r>
          </w:p>
        </w:tc>
      </w:tr>
      <w:tr>
        <w:trPr>
          <w:trHeight w:hRule="exact" w:val="286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Oi - число организаций, осуществляющих образовательную деятельность по образовательным программам среднего профессионального образования, в i-ом субъекте Российской Федерации, итоговая аттестация в которых проводится в форме демонстрационного экзамена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O - общее число организаций, осуществляющих образовательную деятельность по образовательным программам среднего профессионального образования</w:t>
            </w:r>
          </w:p>
        </w:tc>
      </w:tr>
      <w:tr>
        <w:trPr>
          <w:trHeight w:hRule="exact" w:val="169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169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859"/>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 Число мастерских, оснащенных современной материально- технической базой по одной из компетенций накопительным итогом</w:t>
            </w:r>
          </w:p>
        </w:tc>
      </w:tr>
      <w:tr>
        <w:trPr>
          <w:trHeight w:hRule="exact" w:val="716"/>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5</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мастерских, оснащенных современной материально-технической базой по одной из компетенций, единиц</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Mas - Число мастерских, оснащенных современной материально-технической базой по одной из компетенций, ЕД</w:t>
            </w: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Акт готовности</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образования и науки алтайского края</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 1 июня, следующего за отчетным годом</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2866" w:type="dxa"/>
            <w:gridSpan w:val="9"/>
            <w:vAlign w:val="center"/>
            <w:tcBorders>
              <w:top w:val="single" w:sz="5" w:space="0" w:color="000000"/>
              <w:left w:val="single" w:sz="5" w:space="0" w:color="000000"/>
              <w:right w:val="single" w:sz="5" w:space="0" w:color="000000"/>
            </w:tcBorders>
          </w:tcPr>
          <w:p>
            <w:pPr>
              <w:jc w:val="right"/>
            </w:pPr>
            <w:r>
              <w:rPr>
                <w:noProof/>
              </w:rPr>
              <w:drawing>
                <wp:inline distT="0" distB="0" distL="0" distR="0">
                  <wp:extent cx="1829055" cy="456945"/>
                  <wp:effectExtent l="0" t="0" r="0" b="0"/>
                  <wp:docPr id="5" name="Picture 4" descr="Image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4.jpg"/>
                          <pic:cNvPicPr/>
                        </pic:nvPicPr>
                        <pic:blipFill>
                          <a:blip r:embed="rId8" cstate="print"/>
                          <a:stretch>
                            <a:fillRect/>
                          </a:stretch>
                        </pic:blipFill>
                        <pic:spPr>
                          <a:xfrm>
                            <a:off x="0" y="0"/>
                            <a:ext cx="1829055" cy="456945"/>
                          </a:xfrm>
                          <a:prstGeom prst="rect">
                            <a:avLst/>
                          </a:prstGeom>
                        </pic:spPr>
                      </pic:pic>
                    </a:graphicData>
                  </a:graphic>
                </wp:inline>
              </w:drawing>
            </w:r>
          </w:p>
        </w:tc>
      </w:tr>
      <w:tr>
        <w:trPr>
          <w:trHeight w:hRule="exact" w:val="220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Mas - число мастерских, оснащенных современной материально-технической базой по одной из компетенций, в организациях, осуществляющих образовательную деятельность по образовательным программам среднего профессионального образования, в i-ом субъекте Российской Федерации</w:t>
            </w:r>
          </w:p>
        </w:tc>
      </w:tr>
      <w:tr>
        <w:trPr>
          <w:trHeight w:hRule="exact" w:val="2192"/>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 Место России в мире по присутствию университетов в ТОП-500 глобальных рейтингов университетов</w:t>
            </w:r>
          </w:p>
        </w:tc>
      </w:tr>
      <w:tr>
        <w:trPr>
          <w:trHeight w:hRule="exact" w:val="716"/>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6</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Место России в мире по присутствию университетов в ТОП-500 глобальных рейтингов университетов</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Align w:val="center"/>
            <w:tcBorders>
              <w:top w:val="single" w:sz="5" w:space="0" w:color="000000"/>
              <w:left w:val="single" w:sz="5" w:space="0" w:color="000000"/>
              <w:right w:val="single" w:sz="5" w:space="0" w:color="000000"/>
            </w:tcBorders>
          </w:tcPr>
          <w:p>
            <w:pPr>
              <w:jc w:val="right"/>
            </w:pPr>
            <w:r>
              <w:rPr>
                <w:noProof/>
              </w:rPr>
              <w:drawing>
                <wp:inline distT="0" distB="0" distL="0" distR="0">
                  <wp:extent cx="1829055" cy="456945"/>
                  <wp:effectExtent l="0" t="0" r="0" b="0"/>
                  <wp:docPr id="6" name="Picture 5" descr="Image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5.jpg"/>
                          <pic:cNvPicPr/>
                        </pic:nvPicPr>
                        <pic:blipFill>
                          <a:blip r:embed="rId9" cstate="print"/>
                          <a:stretch>
                            <a:fillRect/>
                          </a:stretch>
                        </pic:blipFill>
                        <pic:spPr>
                          <a:xfrm>
                            <a:off x="0" y="0"/>
                            <a:ext cx="1829055" cy="456945"/>
                          </a:xfrm>
                          <a:prstGeom prst="rect">
                            <a:avLst/>
                          </a:prstGeom>
                        </pic:spPr>
                      </pic:pic>
                    </a:graphicData>
                  </a:graphic>
                </wp:inline>
              </w:drawing>
            </w:r>
          </w:p>
        </w:tc>
      </w:tr>
      <w:tr>
        <w:trPr>
          <w:trHeight w:hRule="exact" w:val="16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FARWU  – место России в мире по представленности российских университетов в топ-500 </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2866"/>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общего (институционального) рейтинга Academic Ranking of World Universities (ARWU),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FTHE – место России в мире по представленности российских университетов в топ-500 общего (институционального) рейтинга Times Higher Education World University Rankings (THE),</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FQS – место России в мире по представленности российских университетов в топ-500 общего (институционального) рейтинга QS World University Rankings (QS)</w:t>
            </w:r>
          </w:p>
        </w:tc>
      </w:tr>
      <w:tr>
        <w:trPr>
          <w:trHeight w:hRule="exact" w:val="194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 в т.ч. количество российских университетов, входящих не менее 2 лет подряд в топ-100 глобальных рейтингов университетов, единиц</w:t>
            </w:r>
          </w:p>
        </w:tc>
      </w:tr>
      <w:tr>
        <w:trPr>
          <w:trHeight w:hRule="exact" w:val="717"/>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7</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российских университетов, входящих не менее 2 лет подряд в топ-100 глобальных рейтингов университетов</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Align w:val="center"/>
            <w:tcBorders>
              <w:top w:val="single" w:sz="5" w:space="0" w:color="000000"/>
              <w:left w:val="single" w:sz="5" w:space="0" w:color="000000"/>
              <w:right w:val="single" w:sz="5" w:space="0" w:color="000000"/>
            </w:tcBorders>
          </w:tcPr>
          <w:p/>
        </w:tc>
      </w:tr>
      <w:tr>
        <w:trPr>
          <w:trHeight w:hRule="exact" w:val="2550"/>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российских университетов, которые не менее 2 лет подряд входят в топ-100 одного и того же предметного рейтинга университетов. Каждый из российских университетов учитывается один раз.</w:t>
            </w:r>
          </w:p>
        </w:tc>
      </w:tr>
      <w:tr>
        <w:trPr>
          <w:trHeight w:hRule="exact" w:val="960"/>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 Доля образовательных организаций, осуществляющих образовательную деятельность по образовательным программам высшего образования с использованием федеральных цифровых платформ (информационных систем и ресурсов), между которыми обеспечено информационное взаимодействие, в общем количестве образовательных организаций, осуществляющих образовательную деятельность по образовательным программам </w:t>
            </w:r>
          </w:p>
        </w:tc>
      </w:tr>
      <w:tr>
        <w:trPr>
          <w:trHeight w:hRule="exact" w:val="716"/>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8</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образовательных организаций, осуществляющих образовательную деятельность по образовательным программам высшего образования с использованием федеральных цифровых платформ (информационных систем и ресурсов), между которыми обеспечено информационное взаимодействие, процентов, в </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Align w:val="center"/>
            <w:tcBorders>
              <w:top w:val="single" w:sz="5" w:space="0" w:color="000000"/>
              <w:left w:val="single" w:sz="5" w:space="0" w:color="000000"/>
              <w:right w:val="single" w:sz="5" w:space="0" w:color="000000"/>
            </w:tcBorders>
          </w:tcPr>
          <w:p/>
        </w:tc>
      </w:tr>
      <w:tr>
        <w:trPr>
          <w:trHeight w:hRule="exact" w:val="1462"/>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Отношение числа образовательных организаций, осуществляющих образовательную деятельность по образовательным программам высшего образования с использованием </w:t>
            </w:r>
          </w:p>
        </w:tc>
      </w:tr>
      <w:tr>
        <w:trPr>
          <w:trHeight w:hRule="exact" w:val="146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2866"/>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общем количестве образовательных организаций, осуществляющих образовательную деятельность по образовательным программам</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государственной информационной системы «Современная цифровая образовательная среда», созданной на базе информационного ресурса (портала), обеспечивающего доступ по принципу «одного окна» к онлайн-курсам, и реализующих образовательные программы высшего образования с ее использованием, к общему числу образовательных организаций, осуществляющие образовательную деятельность по образовательным программам высшего образования.</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 государственной информационной системой «Современная цифровая образовательная среда» подразумевается </w:t>
            </w:r>
          </w:p>
        </w:tc>
      </w:tr>
      <w:tr>
        <w:trPr>
          <w:trHeight w:hRule="exact" w:val="285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5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860"/>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2865"/>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информационный ресурс (портал), обеспечивающий доступ по принципу «одного окна» к онлайн-курсам, - до момента получения им статуса государственной информационной системы.</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 реализацией образовательных программ высшего образования с использованием ГИС «Современная цифровая образовательная среда» понимается соблюдение одного или нескольких нижеприведенных условий:</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использование образовательной организацией онлайн-курсов, размещенных в ГИС, в рамках реализации образовательных программ высшего образования;</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использование сервисных и </w:t>
            </w:r>
          </w:p>
        </w:tc>
      </w:tr>
      <w:tr>
        <w:trPr>
          <w:trHeight w:hRule="exact" w:val="285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52"/>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r>
      <w:tr>
        <w:trPr>
          <w:trHeight w:hRule="exact" w:val="859"/>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и периодичность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57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29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719"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1762"/>
        </w:trPr>
        <w:tc>
          <w:tcPr>
            <w:tcW w:w="57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интеграционных решений, предлагаемых ГИС, при реализации образовательных программ высшего образования</w:t>
            </w:r>
          </w:p>
        </w:tc>
      </w:tr>
      <w:tr>
        <w:trPr>
          <w:trHeight w:hRule="exact" w:val="702"/>
        </w:trPr>
        <w:tc>
          <w:tcPr>
            <w:tcW w:w="15618" w:type="dxa"/>
            <w:gridSpan w:val="46"/>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 Позиция Российской Федерации в международном соревновательном рейтинге стран, готовящих выпускников (молодых специалистов) по современным требованиям в совокупном балльном исчислении</w:t>
            </w:r>
          </w:p>
        </w:tc>
      </w:tr>
      <w:tr>
        <w:trPr>
          <w:trHeight w:hRule="exact" w:val="717"/>
        </w:trPr>
        <w:tc>
          <w:tcPr>
            <w:tcW w:w="57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9</w:t>
            </w:r>
          </w:p>
          <w:p/>
        </w:tc>
        <w:tc>
          <w:tcPr>
            <w:tcW w:w="329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Позиция Российской Федерации в международном соревновательном рейтинге стран, готовящих выпускников (молодых специалистов) </w:t>
            </w:r>
          </w:p>
        </w:tc>
        <w:tc>
          <w:tcPr>
            <w:tcW w:w="2435"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719"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577"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РФ</w:t>
            </w:r>
          </w:p>
        </w:tc>
        <w:tc>
          <w:tcPr>
            <w:tcW w:w="1719"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 1 июня, следующего за отчетным годом</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2866" w:type="dxa"/>
            <w:gridSpan w:val="9"/>
            <w:vAlign w:val="center"/>
            <w:tcBorders>
              <w:top w:val="single" w:sz="5" w:space="0" w:color="000000"/>
              <w:left w:val="single" w:sz="5" w:space="0" w:color="000000"/>
              <w:right w:val="single" w:sz="5" w:space="0" w:color="000000"/>
            </w:tcBorders>
          </w:tcPr>
          <w:p>
            <w:pPr>
              <w:jc w:val="right"/>
            </w:pPr>
            <w:r>
              <w:rPr>
                <w:noProof/>
              </w:rPr>
              <w:drawing>
                <wp:inline distT="0" distB="0" distL="0" distR="0">
                  <wp:extent cx="1829055" cy="457583"/>
                  <wp:effectExtent l="0" t="0" r="0" b="0"/>
                  <wp:docPr id="7" name="Picture 6" descr="Image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6.jpg"/>
                          <pic:cNvPicPr/>
                        </pic:nvPicPr>
                        <pic:blipFill>
                          <a:blip r:embed="rId10" cstate="print"/>
                          <a:stretch>
                            <a:fillRect/>
                          </a:stretch>
                        </pic:blipFill>
                        <pic:spPr>
                          <a:xfrm>
                            <a:off x="0" y="0"/>
                            <a:ext cx="1829055" cy="457583"/>
                          </a:xfrm>
                          <a:prstGeom prst="rect">
                            <a:avLst/>
                          </a:prstGeom>
                        </pic:spPr>
                      </pic:pic>
                    </a:graphicData>
                  </a:graphic>
                </wp:inline>
              </w:drawing>
            </w:r>
          </w:p>
        </w:tc>
      </w:tr>
      <w:tr>
        <w:trPr>
          <w:trHeight w:hRule="exact" w:val="2550"/>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9"/>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Xi - результат Российской Федерации в рейтинге стран, участвовавших в мировых/европейских чемпионатах по профессиональному мастерству (Position in Comparison By Total Points Scored)</w:t>
            </w:r>
          </w:p>
        </w:tc>
      </w:tr>
      <w:tr>
        <w:trPr>
          <w:trHeight w:hRule="exact" w:val="430"/>
        </w:trPr>
        <w:tc>
          <w:tcPr>
            <w:tcW w:w="15618" w:type="dxa"/>
            <w:gridSpan w:val="46"/>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r>
      <w:tr>
        <w:trPr>
          <w:trHeight w:hRule="exact" w:val="573"/>
        </w:trPr>
        <w:tc>
          <w:tcPr>
            <w:tcW w:w="15618" w:type="dxa"/>
            <w:gridSpan w:val="46"/>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4.	Финансовое обеспечение реализации федерального проекта по субъектам Российской Федерации</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6"/>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Центральный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150,57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150,57</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150,57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150,57</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Воронежская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r>
      <w:tr>
        <w:trPr>
          <w:trHeight w:hRule="exact" w:val="429"/>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Московская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41,83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41,83</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41,83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41,83</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Тверская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Северо-Западный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29"/>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Новгородская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6"/>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Южный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108,75</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108,75</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108,75</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108,75</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Астраханская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r>
      <w:tr>
        <w:trPr>
          <w:trHeight w:hRule="exact" w:val="429"/>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Волгоградская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54,65</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6"/>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Северо-Кавказский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Республика Северная Осетия - Алания,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55,21</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r>
      <w:tr>
        <w:trPr>
          <w:trHeight w:hRule="exact" w:val="429"/>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Приволжский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Республика Татарстан (Татарстан),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45,17</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Уральский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66,92</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66,92</w:t>
            </w:r>
          </w:p>
        </w:tc>
      </w:tr>
      <w:tr>
        <w:trPr>
          <w:trHeight w:hRule="exact" w:val="429"/>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66,92</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66,92</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Свердловская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51,86</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51,86</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51,86</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51,86</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6"/>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Тюменская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15,06</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15,06</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15,06</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15,06</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Сибирский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161,73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161,73</w:t>
            </w:r>
          </w:p>
        </w:tc>
      </w:tr>
      <w:tr>
        <w:trPr>
          <w:trHeight w:hRule="exact" w:val="429"/>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161,73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161,73</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Иркутская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53,54</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53,54</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53,54</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53,54</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r>
      <w:tr>
        <w:trPr>
          <w:trHeight w:hRule="exact" w:val="430"/>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6"/>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Кемеровская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Томская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29"/>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30"/>
        </w:trPr>
        <w:tc>
          <w:tcPr>
            <w:tcW w:w="15618" w:type="dxa"/>
            <w:gridSpan w:val="46"/>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r>
      <w:tr>
        <w:trPr>
          <w:trHeight w:hRule="exact" w:val="429"/>
        </w:trPr>
        <w:tc>
          <w:tcPr>
            <w:tcW w:w="3869"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 Российской Федерации</w:t>
            </w:r>
          </w:p>
        </w:tc>
        <w:tc>
          <w:tcPr>
            <w:tcW w:w="10029" w:type="dxa"/>
            <w:gridSpan w:val="3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реализации федерального проекта, год</w:t>
            </w:r>
          </w:p>
        </w:tc>
        <w:tc>
          <w:tcPr>
            <w:tcW w:w="172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(млн. рублей)</w:t>
            </w:r>
          </w:p>
        </w:tc>
      </w:tr>
      <w:tr>
        <w:trPr>
          <w:trHeight w:hRule="exact" w:val="287"/>
        </w:trPr>
        <w:tc>
          <w:tcPr>
            <w:tcW w:w="3869"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72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386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7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717"/>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Дальневосточный федеральный округ,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Амурская область, в том числе:</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430"/>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54,09</w:t>
            </w:r>
          </w:p>
        </w:tc>
      </w:tr>
      <w:tr>
        <w:trPr>
          <w:trHeight w:hRule="exact" w:val="717"/>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консолидированные бюджеты субъектов Российской Федерации</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3869" w:type="dxa"/>
            <w:gridSpan w:val="6"/>
            <w:tcMar>
              <w:top w:w="72" w:type="dxa"/>
              <w:left w:w="215"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из них межбюджетные трансферты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720"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bl>
    <w:sectPr>
      <w:pgSz w:w="16834" w:h="11909" w:orient="landscape"/>
      <w:pgMar w:top="1134" w:right="576" w:bottom="526" w:left="576" w:header="1134" w:footer="526" w:gutter="0"/>
    </w:sectPr>
  </w:body>
</w:document>
</file>

<file path=word/fontTable.xml><?xml version="1.0" encoding="utf-8"?>
<w:fonts xmlns:r="http://schemas.openxmlformats.org/officeDocument/2006/relationships" xmlns:w="http://schemas.openxmlformats.org/wordprocessingml/2006/main">
  <w:font w:name="Times New Roman"/>
  <w:font w:name="times new roman"/>
  <w:font w:name="Arial"/>
  <w:font w:name="Calibri"/>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00001.jpeg" /><Relationship Id="rId6" Type="http://schemas.openxmlformats.org/officeDocument/2006/relationships/image" Target="media/image00002.jpeg" /><Relationship Id="rId7" Type="http://schemas.openxmlformats.org/officeDocument/2006/relationships/image" Target="media/image00003.jpeg" /><Relationship Id="rId8" Type="http://schemas.openxmlformats.org/officeDocument/2006/relationships/image" Target="media/image00004.jpeg" /><Relationship Id="rId9" Type="http://schemas.openxmlformats.org/officeDocument/2006/relationships/image" Target="media/image00005.jpeg" /><Relationship Id="rId10" Type="http://schemas.openxmlformats.org/officeDocument/2006/relationships/image" Target="media/image00006.jpeg"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2018.2.2 from 26 April 2018</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FP_Molodye_professionaly</dc:title>
  <dc:subject>FP_Molodye_professionaly</dc:subject>
  <dc:creator/>
  <cp:keywords/>
  <dc:description/>
  <cp:lastModifiedBy>Stimulsoft Reports 2018.2.2 from 26 April 2018</cp:lastModifiedBy>
  <cp:revision>1</cp:revision>
  <dcterms:created xsi:type="dcterms:W3CDTF">2019-04-09T11:55:52Z</dcterms:created>
  <dcterms:modified xsi:type="dcterms:W3CDTF">2019-04-09T11:55:52Z</dcterms:modified>
</cp:coreProperties>
</file>