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</w:rPr>
      </w:pPr>
      <w:r w:rsidRPr="003D2240">
        <w:rPr>
          <w:rFonts w:ascii="Times New Roman" w:eastAsia="Times New Roman" w:hAnsi="Times New Roman" w:cs="Times New Roman"/>
          <w:color w:val="22272F"/>
          <w:sz w:val="34"/>
          <w:szCs w:val="34"/>
        </w:rPr>
        <w:t>Приказ Министерства здравоохранения и социального развития РФ от 17 декабря 2010 г. N 1122н</w:t>
      </w:r>
      <w:r w:rsidRPr="003D2240">
        <w:rPr>
          <w:rFonts w:ascii="Times New Roman" w:eastAsia="Times New Roman" w:hAnsi="Times New Roman" w:cs="Times New Roman"/>
          <w:color w:val="22272F"/>
          <w:sz w:val="34"/>
          <w:szCs w:val="34"/>
        </w:rPr>
        <w:br/>
        <w:t>"Об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средствами"</w:t>
      </w:r>
    </w:p>
    <w:p w:rsidR="003D2240" w:rsidRPr="003D2240" w:rsidRDefault="003D2240" w:rsidP="003D2240">
      <w:pPr>
        <w:pBdr>
          <w:bottom w:val="dashed" w:sz="4" w:space="0" w:color="auto"/>
        </w:pBd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</w:rPr>
      </w:pPr>
      <w:r w:rsidRPr="003D2240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</w:rPr>
        <w:t>С изменениями и дополнениями от: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В соответствии с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4" w:anchor="/document/12136004/entry/527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пунктами 5.2.70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и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5" w:anchor="/document/12136004/entry/5274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5.2.74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Положения о Министерстве здравоохранения и социального развития Российской Федерации, утвержденного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6" w:anchor="/document/12136004/entry/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постановлением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Правительства Российской Федерации от 30 июня 2004 г. N 321 (Собрание законодательства Российской Федерации, 2004, N 28, ст. 2898; 2005, N 2, ст. 162; 2006, N 19, ст. 2080; 2008, N 11 (ч. 1), ст. 1036; N 15, ст. 1555; N 23, ст. 2713; N 42, ст. 4825; N 46, ст. 5337; N 48, ст. 5618; 2009, N 2, ст. 244; N 3, ст. 378; N 6, ст. 738; N 12, ст. 1427, 1434; N 33, ст. 4083, 4088; N 43, ст. 5064; N 45, ст. 5350; 2010, N 4, ст. 394; N 11, ст. 1225; N 25, ст. 3167; N 26, ст. 3350; N 31, ст. 4251; N 35, ст. 4574), приказываю: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1. Утвердить: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типовые нормы бесплатной выдачи работникам смывающих и (или) обезвреживающих средств согласно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7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приложению N 1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;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стандарт безопасности труда "Обеспечение работников смывающими и (или) обезвреживающими средствами" согласно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8" w:anchor="/document/55171222/entry/2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приложению N 2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2. Признать утратившим силу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9" w:anchor="/document/186143/entry/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постановление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Министерства труда и социального развития Российской Федерации от 4 июля 2003 г. N 45 "Об утверждении норм бесплатной выдачи работникам смывающих и обезвреживающих средств, порядка и условий их выдачи" (зарегистрировано Министерством юстиции Российской Федерации 15 июля 2003 г. N 4901).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4"/>
        <w:gridCol w:w="3318"/>
      </w:tblGrid>
      <w:tr w:rsidR="003D2240" w:rsidRPr="003D2240" w:rsidTr="003D2240">
        <w:tc>
          <w:tcPr>
            <w:tcW w:w="3300" w:type="pct"/>
            <w:shd w:val="clear" w:color="auto" w:fill="FFFFFF"/>
            <w:vAlign w:val="bottom"/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</w:pPr>
            <w:r w:rsidRPr="003D2240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Министр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</w:pPr>
            <w:r w:rsidRPr="003D2240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Т. Голикова</w:t>
            </w:r>
          </w:p>
        </w:tc>
      </w:tr>
    </w:tbl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Зарегистрировано в Минюсте РФ 22 апреля 2011 г.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Регистрационный N 20562</w:t>
      </w:r>
    </w:p>
    <w:p w:rsidR="003D2240" w:rsidRPr="003D2240" w:rsidRDefault="007C0523" w:rsidP="003D2240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hyperlink r:id="rId10" w:anchor="/document/70340934/entry/1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Приказом</w:t>
        </w:r>
      </w:hyperlink>
      <w:r w:rsidR="003D2240"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r w:rsidR="003D2240"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Минтруда РФ от 7 февраля 2013 г. N 48н в приложение внесены изменения</w:t>
      </w:r>
    </w:p>
    <w:p w:rsidR="003D2240" w:rsidRPr="003D2240" w:rsidRDefault="007C0523" w:rsidP="003D2240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hyperlink r:id="rId11" w:anchor="/document/58060200/entry/1000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См. текст приложения в предыдущей редакции</w:t>
        </w:r>
      </w:hyperlink>
    </w:p>
    <w:p w:rsid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5"/>
        </w:rPr>
      </w:pPr>
    </w:p>
    <w:p w:rsid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5"/>
        </w:rPr>
      </w:pPr>
    </w:p>
    <w:p w:rsid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22272F"/>
          <w:sz w:val="25"/>
        </w:rPr>
      </w:pP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lastRenderedPageBreak/>
        <w:t>Приложение N 1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к </w:t>
      </w:r>
      <w:hyperlink r:id="rId12" w:anchor="/document/55171222/entry/0" w:history="1">
        <w:r w:rsidRPr="003D2240">
          <w:rPr>
            <w:rFonts w:ascii="Times New Roman" w:eastAsia="Times New Roman" w:hAnsi="Times New Roman" w:cs="Times New Roman"/>
            <w:b/>
            <w:bCs/>
            <w:color w:val="734C9B"/>
            <w:sz w:val="25"/>
          </w:rPr>
          <w:t>приказу</w:t>
        </w:r>
      </w:hyperlink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 Министерства здравоохранения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и социального развития РФ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от 17 декабря 2010 г. N 1122н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3D2240">
        <w:rPr>
          <w:rFonts w:ascii="Times New Roman" w:eastAsia="Times New Roman" w:hAnsi="Times New Roman" w:cs="Times New Roman"/>
          <w:color w:val="22272F"/>
          <w:sz w:val="35"/>
          <w:szCs w:val="35"/>
        </w:rPr>
        <w:t>Типовые нормы</w:t>
      </w:r>
      <w:r w:rsidRPr="003D2240">
        <w:rPr>
          <w:rFonts w:ascii="Times New Roman" w:eastAsia="Times New Roman" w:hAnsi="Times New Roman" w:cs="Times New Roman"/>
          <w:color w:val="22272F"/>
          <w:sz w:val="35"/>
          <w:szCs w:val="35"/>
        </w:rPr>
        <w:br/>
        <w:t>бесплатной выдачи работникам смывающих и (или) обезвреживающих средств</w:t>
      </w:r>
    </w:p>
    <w:p w:rsidR="003D2240" w:rsidRPr="003D2240" w:rsidRDefault="003D2240" w:rsidP="003D2240">
      <w:pPr>
        <w:pBdr>
          <w:bottom w:val="dashed" w:sz="4" w:space="0" w:color="auto"/>
        </w:pBd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</w:rPr>
      </w:pPr>
      <w:r w:rsidRPr="003D2240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</w:rPr>
        <w:t>С изменениями и дополнениями от:</w:t>
      </w:r>
    </w:p>
    <w:tbl>
      <w:tblPr>
        <w:tblW w:w="101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"/>
        <w:gridCol w:w="2768"/>
        <w:gridCol w:w="4784"/>
        <w:gridCol w:w="1790"/>
      </w:tblGrid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смывающих и (или) обезвреживающих средств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 и производственных факторов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выдачи на 1 работника в месяц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2240" w:rsidRPr="003D2240" w:rsidTr="003D2240"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I. Защитные средства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гидрофильного действия</w:t>
            </w:r>
          </w:p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(впитывающие влагу, увлажняющие кожу)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водонерастворимыми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материалами и веществами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гидрофобного действия</w:t>
            </w:r>
          </w:p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(отталкивающие влагу, сушащие кожу)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щелочемасляными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спецобуви</w:t>
            </w:r>
            <w:proofErr w:type="spell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комбинированного действия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при попеременном воздействии водорастворимых и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водонерастворимых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 и веществ, указанных в </w:t>
            </w:r>
            <w:hyperlink r:id="rId13" w:anchor="/document/55171222/entry/1001" w:history="1">
              <w:r w:rsidRPr="003D2240">
                <w:rPr>
                  <w:rFonts w:ascii="Times New Roman" w:eastAsia="Times New Roman" w:hAnsi="Times New Roman" w:cs="Times New Roman"/>
                  <w:color w:val="734C9B"/>
                  <w:sz w:val="24"/>
                  <w:szCs w:val="24"/>
                </w:rPr>
                <w:t>пунктах 1</w:t>
              </w:r>
            </w:hyperlink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hyperlink r:id="rId14" w:anchor="/document/55171222/entry/1002" w:history="1">
              <w:r w:rsidRPr="003D2240">
                <w:rPr>
                  <w:rFonts w:ascii="Times New Roman" w:eastAsia="Times New Roman" w:hAnsi="Times New Roman" w:cs="Times New Roman"/>
                  <w:color w:val="734C9B"/>
                  <w:sz w:val="24"/>
                  <w:szCs w:val="24"/>
                </w:rPr>
                <w:t>2</w:t>
              </w:r>
            </w:hyperlink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настоящих Типовых норм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для защиты кожи при негативном влиянии окружающей среды (от раздражения и повреждения кожи)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для защиты от бактериологических вредных факторов </w:t>
            </w: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(дезинфицирующие)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Работы с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бактериально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опасными средами; при нахождении рабочего места удаленно от стационарных санитарно-бытовых узлов; </w:t>
            </w: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работы, выполняемые в закрытой специальной обуви; при повышенных требованиях к стерильности рук на производстве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мл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для защиты от биологических вредных факторов (от укусов членистоногих)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 работы (сезонно, при температуре выше 0° Цельсия) в период активности кровососущих и жалящих насекомых и паукообразных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200 мл</w:t>
            </w:r>
          </w:p>
        </w:tc>
      </w:tr>
      <w:tr w:rsidR="003D2240" w:rsidRPr="003D2240" w:rsidTr="003D2240"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II. Очищающие средства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7C0523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/document/71440278/entry/0" w:history="1">
              <w:r w:rsidR="003D2240" w:rsidRPr="003D2240">
                <w:rPr>
                  <w:rFonts w:ascii="Times New Roman" w:eastAsia="Times New Roman" w:hAnsi="Times New Roman" w:cs="Times New Roman"/>
                  <w:color w:val="734C9B"/>
                  <w:sz w:val="24"/>
                  <w:szCs w:val="24"/>
                </w:rPr>
                <w:t>7</w:t>
              </w:r>
            </w:hyperlink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D2240" w:rsidRPr="007C0523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052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Мыло или жидкие моющие средства в том числе: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52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Работы, связанные с легкосмываемыми загрязнениями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240" w:rsidRPr="003D2240" w:rsidTr="003D2240"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D2240" w:rsidRPr="007C0523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052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для мытья рук</w:t>
            </w:r>
          </w:p>
        </w:tc>
        <w:tc>
          <w:tcPr>
            <w:tcW w:w="477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D2240" w:rsidRPr="007C0523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052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200 г (мыло туалетное) или 250 мл (жидкие моющие средства в дозирующих устройствах)</w:t>
            </w:r>
            <w:bookmarkStart w:id="0" w:name="_GoBack"/>
            <w:bookmarkEnd w:id="0"/>
          </w:p>
        </w:tc>
      </w:tr>
      <w:tr w:rsidR="003D2240" w:rsidRPr="003D2240" w:rsidTr="003D2240"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мытья тела</w:t>
            </w:r>
          </w:p>
        </w:tc>
        <w:tc>
          <w:tcPr>
            <w:tcW w:w="4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300 г (мыло туалетное) или 500 мл (жидкие моющие средства в дозирующих устройствах)</w:t>
            </w:r>
          </w:p>
        </w:tc>
      </w:tr>
      <w:tr w:rsidR="003D2240" w:rsidRPr="003D2240" w:rsidTr="003D2240"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 туалетное мыло или жидкие моющие средства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Работы, связанные с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трудносмываемыми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300 г (мыло туалетное) или 500 мл (жидкие моющие средства в дозирующих устройствах)</w:t>
            </w:r>
          </w:p>
        </w:tc>
      </w:tr>
      <w:tr w:rsidR="003D2240" w:rsidRPr="003D2240" w:rsidTr="003D224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240" w:rsidRPr="003D2240" w:rsidRDefault="003D2240" w:rsidP="003D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240" w:rsidRPr="003D2240" w:rsidRDefault="003D2240" w:rsidP="003D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на угольных (сланцевых) шахтах, в разрезах, на обогатительных и брикетных фабриках, в шахтостроительных и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шахто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-монтажных организациях угольной промышленности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800 г (мыло туалетное) или 750 мл (жидкие моющие средства в дозирующих устройствах)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Очищающие кремы, гели и пасты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Работы, связанные с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трудносмываемыми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200 мл</w:t>
            </w:r>
          </w:p>
        </w:tc>
      </w:tr>
      <w:tr w:rsidR="003D2240" w:rsidRPr="003D2240" w:rsidTr="003D2240"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III. Регенерирующие, восстанавливающие средства</w:t>
            </w:r>
          </w:p>
        </w:tc>
      </w:tr>
      <w:tr w:rsidR="003D2240" w:rsidRPr="003D2240" w:rsidTr="003D224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Регенерирующие, восстанавливающие кремы, эмульсии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</w:t>
            </w: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щелочемасляными</w:t>
            </w:r>
            <w:proofErr w:type="spellEnd"/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эмульсиями и другими рабочими материалами;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мл</w:t>
            </w:r>
          </w:p>
        </w:tc>
      </w:tr>
    </w:tbl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lastRenderedPageBreak/>
        <w:t>Приложение N 2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к </w:t>
      </w:r>
      <w:hyperlink r:id="rId16" w:anchor="/document/55171222/entry/0" w:history="1">
        <w:r w:rsidRPr="003D2240">
          <w:rPr>
            <w:rFonts w:ascii="Times New Roman" w:eastAsia="Times New Roman" w:hAnsi="Times New Roman" w:cs="Times New Roman"/>
            <w:b/>
            <w:bCs/>
            <w:color w:val="734C9B"/>
            <w:sz w:val="25"/>
          </w:rPr>
          <w:t>приказу</w:t>
        </w:r>
      </w:hyperlink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 Министерства здравоохранения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и социального развития РФ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от 17 декабря 2010 г. N 1122н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3D2240">
        <w:rPr>
          <w:rFonts w:ascii="Times New Roman" w:eastAsia="Times New Roman" w:hAnsi="Times New Roman" w:cs="Times New Roman"/>
          <w:color w:val="22272F"/>
          <w:sz w:val="35"/>
          <w:szCs w:val="35"/>
        </w:rPr>
        <w:t>Стандарт безопасности труда</w:t>
      </w:r>
      <w:r w:rsidRPr="003D2240">
        <w:rPr>
          <w:rFonts w:ascii="Times New Roman" w:eastAsia="Times New Roman" w:hAnsi="Times New Roman" w:cs="Times New Roman"/>
          <w:color w:val="22272F"/>
          <w:sz w:val="35"/>
          <w:szCs w:val="35"/>
        </w:rPr>
        <w:br/>
        <w:t>"Обеспечение работников смывающими и (или) обезвреживающими средствами"</w:t>
      </w:r>
    </w:p>
    <w:p w:rsidR="003D2240" w:rsidRPr="003D2240" w:rsidRDefault="003D2240" w:rsidP="003D2240">
      <w:pPr>
        <w:pBdr>
          <w:bottom w:val="dashed" w:sz="4" w:space="0" w:color="auto"/>
        </w:pBd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</w:rPr>
      </w:pPr>
      <w:r w:rsidRPr="003D2240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</w:rPr>
        <w:t>С изменениями и дополнениями от: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1. Стандарт безопасности труда "Обеспечение работников смывающими и (или) обезвреживающими средствами" (далее - Стандарт) устанавливает правила приобретения, выдачи, применения и организации хранения смывающих и (или) обезвреживающих средств.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2. Стандарт распространяется на работодателей - юридических и физических лиц независимо от их организационно-правовых форм и форм собственности.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3. Приобретение смывающих и (или) обезвреживающих средств осуществляется за счет средств работодателя.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4. Смывающие и (или) обезвреживающие средства подразделяются на защитные средства, очищающие средства и средства восстанавливающего, регенерирующего действия.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5. Смывающие и (или) обезвреживающие средства предоставляются работникам в соответствии с типовыми нормами бесплатной выдачи работникам смывающих и (или) обезвреживающих средств согласно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17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приложению N 1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к настоящему приказу (далее - Типовые нормы).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6. Смывающие и (или) обезвреживающие средства, оставшиеся неиспользованными по истечении отчетного периода (один месяц), могут быть использованы в следующем месяце при соблюдении их срока годности.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7. Работодатель вправе с учетом мнения выборного органа первичной профсоюзной организации или иного представительного органа работников и своего финансово-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lastRenderedPageBreak/>
        <w:t>экономического положения устанавливать нормы бесплатной выдачи работникам смывающих и (или) обезвреживающих средств, улучшающие по сравнению с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18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Типовыми нормами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защиту работников от имеющихся на рабочих местах вредных и (или) опасных производственных факторов, особых температурных условий, а также загрязнений.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8. Выдача работникам смывающих и (или) обезвреживающих средств, в том числе иностранного производства, допускается только в случае подтверждения их соответствия государственным нормативным требованиям декларацией о соответствии и (или) сертификатом соответствия, оформленными в порядке, установленном действующим законодательством.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Приобретение смывающих и (или) обезвреживающих средств,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допускается.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9. Нормы выдачи смывающих и (или) обезвреживающих средств, соответствующие условиям труда на рабочем месте работника, указываются в трудовом договоре работника.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10. При выдаче смывающих и (или) обезвреживающих средств работодатель обязан информировать работников о правилах их применения.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11. Работник обязан применять по назначению и в соответствии со Стандартом смывающие и (или) обезвреживающие средства, выданные ему в установленном порядке.</w:t>
      </w:r>
    </w:p>
    <w:p w:rsidR="003D2240" w:rsidRPr="003D2240" w:rsidRDefault="007C0523" w:rsidP="003D2240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hyperlink r:id="rId19" w:anchor="/document/70618396/entry/100240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Приказом</w:t>
        </w:r>
      </w:hyperlink>
      <w:r w:rsidR="003D2240"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r w:rsidR="003D2240"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Минтруда России от 20 февраля 2014 г. N 103н пункт 12 изложен в новой редакции</w:t>
      </w:r>
    </w:p>
    <w:p w:rsidR="003D2240" w:rsidRPr="003D2240" w:rsidRDefault="007C0523" w:rsidP="003D2240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hyperlink r:id="rId20" w:anchor="/document/58059644/entry/2012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См. текст пункта в предыдущей редакции</w:t>
        </w:r>
      </w:hyperlink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12. Подбор и выдача смывающих и (или) обезвреживающих средств осуществляется с учетом результатов проведения специальной оценки условий труда.</w:t>
      </w:r>
    </w:p>
    <w:p w:rsidR="003D2240" w:rsidRPr="003D2240" w:rsidRDefault="007C0523" w:rsidP="003D2240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hyperlink r:id="rId21" w:anchor="/document/70618396/entry/100241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Приказом</w:t>
        </w:r>
      </w:hyperlink>
      <w:r w:rsidR="003D2240"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r w:rsidR="003D2240"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Минтруда России от 20 февраля 2014 г. N 103н в пункт 13 внесены изменения</w:t>
      </w:r>
    </w:p>
    <w:p w:rsidR="003D2240" w:rsidRPr="003D2240" w:rsidRDefault="007C0523" w:rsidP="003D2240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hyperlink r:id="rId22" w:anchor="/document/58059644/entry/2013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См. текст пункта в предыдущей редакции</w:t>
        </w:r>
      </w:hyperlink>
    </w:p>
    <w:p w:rsidR="003D2240" w:rsidRPr="003D2240" w:rsidRDefault="007C0523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hyperlink r:id="rId23" w:anchor="/document/71440278/entry/2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13</w:t>
        </w:r>
      </w:hyperlink>
      <w:r w:rsidR="003D2240"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. Перечень рабочих мест и список работников, для которых необходима выдача смывающих и (или) обезвреживающих средств, составляются службой охраны труда (специалистом по охране труда)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Указанный перечень рабочих мест и список работников формируются на основании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24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Типовых норм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и в соответствии с результатами специальной оценки условий труда с учетом особенностей существующего технологического процесса и организации труда, применяемых сырья и материалов.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До получения работодателем результатов проведения специальной оценки условий труда или в случае их отсутствия у работодателя перечень рабочих мест и список работников, для которых необходима выдача смывающих и (или) обезвреживающих средств, формируются 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lastRenderedPageBreak/>
        <w:t>с учетом мнения выборного органа первичной профсоюзной организации или иного уполномоченного работниками представительного органа на основании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25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Типовых норм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14. Выдача работникам смывающих и (или) обезвреживающих средств согласно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26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Типовым нормам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осуществляется уполномоченным структурным подразделением (должностным лицом) работодателя.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15. Защитные средства гидрофильного, гидрофобного, а также комбинированного действия (кремы, эмульсии, гели, спреи и другие) выдаются работникам при работе с агрессивными водорастворимыми, </w:t>
      </w:r>
      <w:proofErr w:type="spellStart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водонерастворимыми</w:t>
      </w:r>
      <w:proofErr w:type="spellEnd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рабочими материалами, их попеременном воздействии.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16. Средства для защиты кожи при негативном влиянии окружающей среды (кремы, гели, эмульсии и другие) выдаются работникам, занятым на наружных и других работах, связанных с воздействием ультрафиолетового излучения диапазонов А, В, С, повышенных и пониженных температур, ветра и других.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17. Средства для защиты от бактериологических вредных факторов, обладающие антибактериальным эффектом, выдаются работникам, занятым на производствах с повышенными требованиями к стерильности рук работающих, при работе с </w:t>
      </w:r>
      <w:proofErr w:type="spellStart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бактериально</w:t>
      </w:r>
      <w:proofErr w:type="spellEnd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опасными средами, а также при нахождении рабочего места удаленно от стационарных санитарно-бытовых узлов.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18. Средства для защиты от биологических вредных факторов (насекомых, паукообразных) выдаются работникам при работе в районах, где сезонно наблюдается массовый лет кровососущих и жалящих насекомых (комары, мошка, слепни, оводы и другие), а также распространение и активность кровососущих паукообразных (иксодовые клещи и другие), с учетом сезонной специфики региона.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19. Применение защитных средств, указанных в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27" w:anchor="/document/55171222/entry/2014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пунктах 14-18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Стандарта, осуществляется путем их нанесения на открытые участки тела до начала работы.</w:t>
      </w:r>
    </w:p>
    <w:p w:rsidR="003D2240" w:rsidRPr="003D2240" w:rsidRDefault="007C0523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hyperlink r:id="rId28" w:anchor="/document/71440278/entry/3" w:history="1">
        <w:r w:rsidR="003D2240" w:rsidRPr="003D2240">
          <w:rPr>
            <w:rFonts w:ascii="Times New Roman" w:eastAsia="Times New Roman" w:hAnsi="Times New Roman" w:cs="Times New Roman"/>
            <w:color w:val="734C9B"/>
            <w:sz w:val="25"/>
          </w:rPr>
          <w:t>20</w:t>
        </w:r>
      </w:hyperlink>
      <w:r w:rsidR="003D2240"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. На работах, связанных с легкосмываемыми загрязнениями, для использования в душевых или в помещениях для умывания работникам выдаются очищающие средства в виде твердого туалетного мыла или жидких моющих средств (гель для рук, гель для тела и волос, жидкое туалетное мыло и другие).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На работах, связанных с легкосмываемыми загрязнениями, работодатель имеет право не выдавать непосредственно работнику смывающие средства, а обеспечивает постоянное наличие в санитарно-бытовых помещениях мыла или дозаторов с жидким смывающим веществом.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Для очищения от загрязнения кожи лица работникам выдаются только слабощелочные сорта мыла (туалетное).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Не допускается замена мыла или жидких моющих средств агрессивными для кожи средствами (органическими растворителями, абразивными веществами (песок, чистящие порошки и т.п.), каустической содой и другими).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lastRenderedPageBreak/>
        <w:t xml:space="preserve">21. На работах, связанных с </w:t>
      </w:r>
      <w:proofErr w:type="spellStart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трудносмываемыми</w:t>
      </w:r>
      <w:proofErr w:type="spellEnd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, устойчивыми загрязнениями (масла, смазки, сажа, нефтепродукты, лаки, краски, в том числе полиграфические, смолы, клеи, битум, силикон, графит, различные виды производственной пыли, в том числе угольная, металлическая и т.п.), в дополнение к твердому туалетному мылу или жидким моющим средствам работникам выдаются очищающие кремы, гели и пасты.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Замена указанных очищающих средств твердым туалетным мылом или жидкими моющими средствами не допускается.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22. При работе с агрессивными водорастворимыми, </w:t>
      </w:r>
      <w:proofErr w:type="spellStart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водонерастворимыми</w:t>
      </w:r>
      <w:proofErr w:type="spellEnd"/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и комбинированными веществами и негативном влиянии окружающей среды (наружные и другие работы, связанные с воздействием ультрафиолетового излучения диапазонов А, В, С, воздействием повышенных или пониженных температур, ветра) работникам выдаются регенерирующие (восстанавливающие) средства (кремы, эмульсии и другие) согласно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29" w:anchor="/document/55171222/entry/101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Типовым нормам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. Применение указанных средств осуществляется путем их нанесения на открытые чистые участки тела после работы.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23. Выдача работникам жидких смывающих и (или) обезвреживающих средств, расфасованных в упаковки емкостью более 250 мл, может осуществляться посредством применения дозирующих систем, которые размещаются в санитарно-бытовых помещениях. Пополнение или замена емкостей, содержащих смывающие и (или) обезвреживающие средства, осуществляется по мере расходования указанных средств.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24. Работодатель обязан организовать надлежащий учет и контроль за выдачей работникам смывающих и (или) обезвреживающих средств в установленные сроки.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Сроки использования смывающих и (или) обезвреживающих средств исчисляются со дня фактической выдачи их работникам и не должны превышать сроков годности, указанных производителем.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Выдача работникам смывающих и (или) обезвреживающих средств должна фиксироваться под роспись в личной карточке учета выдачи смывающих и (или) обезвреживающих средств, образец которой предусмотрен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30" w:anchor="/document/55171222/entry/21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приложением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к Стандарту.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25. Хранение выдаваемых работникам смывающих и (или) обезвреживающих средств работодатель осуществляет в соответствии с рекомендациями изготовителя.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26. Ответственность за своевременную и в полном объеме выдачу работникам смывающих и (или) обезвреживающих средств в соответствии с</w:t>
      </w:r>
      <w:r w:rsidRPr="003D2240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31" w:anchor="/document/55171222/entry/100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Типовыми нормами</w:t>
        </w:r>
      </w:hyperlink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, за организацию контроля правильности их применения работниками, а также за хранение смывающих и (или) обезвреживающих средств возлагается на работодателя (его представителя).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t>27. Государственный надзор и контроль за соблюдением работодателем Стандарта осуществляется федеральным органом исполнительной власти, осуществляющим функции надзора и контроля за соблюдением трудового законодательства и иных нормативных правовых актов, содержащих нормы трудового права, и его территориальными органами (государственными инспекциями труда в субъектах Российской Федерации).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22272F"/>
          <w:sz w:val="25"/>
          <w:szCs w:val="25"/>
        </w:rPr>
        <w:lastRenderedPageBreak/>
        <w:t>28. Контроль за соблюдением работодателями (юридическими и физическими лицами) Стандарта в подведомственных организациях осуществляется в порядке, предусмотренном действующим законодательством Российской Федерации.</w:t>
      </w:r>
    </w:p>
    <w:p w:rsidR="003D2240" w:rsidRPr="003D2240" w:rsidRDefault="003D2240" w:rsidP="003D2240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См. данную</w:t>
      </w:r>
      <w:r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hyperlink r:id="rId32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форму</w:t>
        </w:r>
      </w:hyperlink>
      <w:r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в редакторе MS-</w:t>
      </w:r>
      <w:proofErr w:type="spellStart"/>
      <w:r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Word</w:t>
      </w:r>
      <w:proofErr w:type="spellEnd"/>
      <w:r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 xml:space="preserve"> и</w:t>
      </w:r>
      <w:r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hyperlink r:id="rId33" w:anchor="/document/55722694/entry/0" w:history="1">
        <w:r w:rsidRPr="003D2240">
          <w:rPr>
            <w:rFonts w:ascii="Times New Roman" w:eastAsia="Times New Roman" w:hAnsi="Times New Roman" w:cs="Times New Roman"/>
            <w:color w:val="734C9B"/>
            <w:sz w:val="25"/>
          </w:rPr>
          <w:t>образец</w:t>
        </w:r>
      </w:hyperlink>
      <w:r w:rsidRPr="003D2240">
        <w:rPr>
          <w:rFonts w:ascii="Times New Roman" w:eastAsia="Times New Roman" w:hAnsi="Times New Roman" w:cs="Times New Roman"/>
          <w:color w:val="464C55"/>
          <w:sz w:val="25"/>
        </w:rPr>
        <w:t> </w:t>
      </w:r>
      <w:r w:rsidRPr="003D2240">
        <w:rPr>
          <w:rFonts w:ascii="Times New Roman" w:eastAsia="Times New Roman" w:hAnsi="Times New Roman" w:cs="Times New Roman"/>
          <w:color w:val="464C55"/>
          <w:sz w:val="25"/>
          <w:szCs w:val="25"/>
        </w:rPr>
        <w:t>ее заполнения</w:t>
      </w:r>
    </w:p>
    <w:p w:rsidR="003D2240" w:rsidRPr="003D2240" w:rsidRDefault="003D2240" w:rsidP="003D22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Приложение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к </w:t>
      </w:r>
      <w:hyperlink r:id="rId34" w:anchor="/document/55171222/entry/2000" w:history="1">
        <w:r w:rsidRPr="003D2240">
          <w:rPr>
            <w:rFonts w:ascii="Times New Roman" w:eastAsia="Times New Roman" w:hAnsi="Times New Roman" w:cs="Times New Roman"/>
            <w:b/>
            <w:bCs/>
            <w:color w:val="734C9B"/>
            <w:sz w:val="25"/>
          </w:rPr>
          <w:t>стандарту</w:t>
        </w:r>
      </w:hyperlink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 безопасности труда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"Обеспечение работников смывающими</w:t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  <w:szCs w:val="25"/>
        </w:rPr>
        <w:br/>
      </w:r>
      <w:r w:rsidRPr="003D2240">
        <w:rPr>
          <w:rFonts w:ascii="Times New Roman" w:eastAsia="Times New Roman" w:hAnsi="Times New Roman" w:cs="Times New Roman"/>
          <w:b/>
          <w:bCs/>
          <w:color w:val="22272F"/>
          <w:sz w:val="25"/>
        </w:rPr>
        <w:t>и (или) обезвреживающими средствами"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b/>
          <w:bCs/>
          <w:color w:val="22272F"/>
        </w:rPr>
        <w:t xml:space="preserve">                                                                  Образец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b/>
          <w:bCs/>
          <w:color w:val="22272F"/>
        </w:rPr>
        <w:t xml:space="preserve">                         ЛИЧНАЯ КАРТОЧКА N 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b/>
          <w:bCs/>
          <w:color w:val="22272F"/>
        </w:rPr>
        <w:t xml:space="preserve">                     УЧЕТА ВЫДАЧИ СМЫВАЮЩИХ И (ИЛИ)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b/>
          <w:bCs/>
          <w:color w:val="22272F"/>
        </w:rPr>
        <w:t xml:space="preserve">                         ОБЕЗВРЕЖИВАЮЩИХ СРЕДСТВ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Фамилия________________________________ Имя______________________________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Отчество (при наличии)________________________ Табельный номер___________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Структурное подразделение________________________________________________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Профессия (должность)___________________ Дата поступления на работу______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 xml:space="preserve">Дата изменения наименования профессии (должности) или </w:t>
      </w:r>
      <w:proofErr w:type="gramStart"/>
      <w:r w:rsidRPr="003D2240">
        <w:rPr>
          <w:rFonts w:ascii="Courier New" w:eastAsia="Times New Roman" w:hAnsi="Courier New" w:cs="Courier New"/>
          <w:color w:val="22272F"/>
        </w:rPr>
        <w:t>перевода  в</w:t>
      </w:r>
      <w:proofErr w:type="gramEnd"/>
      <w:r w:rsidRPr="003D2240">
        <w:rPr>
          <w:rFonts w:ascii="Courier New" w:eastAsia="Times New Roman" w:hAnsi="Courier New" w:cs="Courier New"/>
          <w:color w:val="22272F"/>
        </w:rPr>
        <w:t xml:space="preserve">  другое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структурное подразделение________________________________________________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 xml:space="preserve">Предусмотрено </w:t>
      </w:r>
      <w:hyperlink r:id="rId35" w:anchor="/document/55171222/entry/1000" w:history="1">
        <w:r w:rsidRPr="003D2240">
          <w:rPr>
            <w:rFonts w:ascii="Courier New" w:eastAsia="Times New Roman" w:hAnsi="Courier New" w:cs="Courier New"/>
            <w:color w:val="734C9B"/>
          </w:rPr>
          <w:t>типовыми нормами</w:t>
        </w:r>
      </w:hyperlink>
      <w:r w:rsidRPr="003D2240">
        <w:rPr>
          <w:rFonts w:ascii="Courier New" w:eastAsia="Times New Roman" w:hAnsi="Courier New" w:cs="Courier New"/>
          <w:color w:val="22272F"/>
        </w:rPr>
        <w:t xml:space="preserve">  бесплатной  выдачи  работникам  смывающих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и (или) обезвреживающих средств:</w:t>
      </w:r>
    </w:p>
    <w:tbl>
      <w:tblPr>
        <w:tblW w:w="101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5"/>
        <w:gridCol w:w="4257"/>
        <w:gridCol w:w="2098"/>
        <w:gridCol w:w="1900"/>
      </w:tblGrid>
      <w:tr w:rsidR="003D2240" w:rsidRPr="003D2240" w:rsidTr="003D2240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</w:p>
          <w:p w:rsidR="003D2240" w:rsidRPr="003D2240" w:rsidRDefault="007C0523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anchor="/document/55171222/entry/1000" w:history="1">
              <w:r w:rsidR="003D2240" w:rsidRPr="003D2240">
                <w:rPr>
                  <w:rFonts w:ascii="Times New Roman" w:eastAsia="Times New Roman" w:hAnsi="Times New Roman" w:cs="Times New Roman"/>
                  <w:color w:val="734C9B"/>
                  <w:sz w:val="24"/>
                  <w:szCs w:val="24"/>
                </w:rPr>
                <w:t>Типовых норм</w:t>
              </w:r>
            </w:hyperlink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смывающих и (или) обезвреживающих средств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(г/мл)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 год</w:t>
            </w:r>
          </w:p>
        </w:tc>
      </w:tr>
      <w:tr w:rsidR="003D2240" w:rsidRPr="003D2240" w:rsidTr="003D2240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240" w:rsidRPr="003D2240" w:rsidTr="003D2240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240" w:rsidRPr="003D2240" w:rsidTr="003D2240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240" w:rsidRPr="003D2240" w:rsidTr="003D2240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Руководитель структурного подразделения__________________________________</w:t>
      </w:r>
    </w:p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 xml:space="preserve">                                        Оборотная сторона личной карточки</w:t>
      </w:r>
    </w:p>
    <w:tbl>
      <w:tblPr>
        <w:tblW w:w="10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1"/>
        <w:gridCol w:w="2231"/>
        <w:gridCol w:w="710"/>
        <w:gridCol w:w="1187"/>
        <w:gridCol w:w="2605"/>
        <w:gridCol w:w="1356"/>
      </w:tblGrid>
      <w:tr w:rsidR="003D2240" w:rsidRPr="003D2240" w:rsidTr="003D2240"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смывающих и (или) обезвреживающих средств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 государственной регистрации, сертификат соответствия</w:t>
            </w:r>
          </w:p>
        </w:tc>
        <w:tc>
          <w:tcPr>
            <w:tcW w:w="5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Выдано</w:t>
            </w:r>
          </w:p>
        </w:tc>
      </w:tr>
      <w:tr w:rsidR="003D2240" w:rsidRPr="003D2240" w:rsidTr="003D224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D2240" w:rsidRPr="003D2240" w:rsidRDefault="003D2240" w:rsidP="003D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D2240" w:rsidRPr="003D2240" w:rsidRDefault="003D2240" w:rsidP="003D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(г/мл)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выдачи</w:t>
            </w:r>
          </w:p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(индивидуально; посредством дозирующей системы)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расписка в получении</w:t>
            </w:r>
          </w:p>
        </w:tc>
      </w:tr>
      <w:tr w:rsidR="003D2240" w:rsidRPr="003D2240" w:rsidTr="003D2240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240" w:rsidRPr="003D2240" w:rsidTr="003D2240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240" w:rsidRPr="003D2240" w:rsidRDefault="003D2240" w:rsidP="003D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24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D2240" w:rsidRPr="003D2240" w:rsidRDefault="003D2240" w:rsidP="003D2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</w:rPr>
      </w:pPr>
      <w:r w:rsidRPr="003D2240">
        <w:rPr>
          <w:rFonts w:ascii="Courier New" w:eastAsia="Times New Roman" w:hAnsi="Courier New" w:cs="Courier New"/>
          <w:color w:val="22272F"/>
        </w:rPr>
        <w:t>Руководитель структурного подразделения__________________________________</w:t>
      </w:r>
    </w:p>
    <w:p w:rsidR="00454473" w:rsidRDefault="00454473"/>
    <w:sectPr w:rsidR="00454473" w:rsidSect="003D224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240"/>
    <w:rsid w:val="003D2240"/>
    <w:rsid w:val="00454473"/>
    <w:rsid w:val="007C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7AF37-B036-40BC-A91B-6566467C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D22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D224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D2240"/>
  </w:style>
  <w:style w:type="character" w:styleId="a3">
    <w:name w:val="Hyperlink"/>
    <w:basedOn w:val="a0"/>
    <w:uiPriority w:val="99"/>
    <w:semiHidden/>
    <w:unhideWhenUsed/>
    <w:rsid w:val="003D2240"/>
    <w:rPr>
      <w:color w:val="0000FF"/>
      <w:u w:val="single"/>
    </w:rPr>
  </w:style>
  <w:style w:type="paragraph" w:customStyle="1" w:styleId="s16">
    <w:name w:val="s_16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3D2240"/>
  </w:style>
  <w:style w:type="paragraph" w:customStyle="1" w:styleId="empty">
    <w:name w:val="empty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3D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D2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22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64007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5527">
              <w:marLeft w:val="0"/>
              <w:marRight w:val="0"/>
              <w:marTop w:val="208"/>
              <w:marBottom w:val="2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0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634">
              <w:marLeft w:val="0"/>
              <w:marRight w:val="0"/>
              <w:marTop w:val="208"/>
              <w:marBottom w:val="2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2320">
              <w:marLeft w:val="0"/>
              <w:marRight w:val="0"/>
              <w:marTop w:val="208"/>
              <w:marBottom w:val="2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26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" TargetMode="External"/><Relationship Id="rId34" Type="http://schemas.openxmlformats.org/officeDocument/2006/relationships/hyperlink" Target="http://internet.garant.ru/" TargetMode="Externa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://internet.garant.ru/" TargetMode="External"/><Relationship Id="rId33" Type="http://schemas.openxmlformats.org/officeDocument/2006/relationships/hyperlink" Target="http://internet.garant.ru/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29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hyperlink" Target="http://internet.garant.ru/blob/load?id=57511536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internet.garant.ru/" TargetMode="External"/><Relationship Id="rId15" Type="http://schemas.openxmlformats.org/officeDocument/2006/relationships/hyperlink" Target="http://internet.garant.ru/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http://internet.garant.ru/" TargetMode="External"/><Relationship Id="rId36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31" Type="http://schemas.openxmlformats.org/officeDocument/2006/relationships/hyperlink" Target="http://internet.garant.ru/" TargetMode="External"/><Relationship Id="rId4" Type="http://schemas.openxmlformats.org/officeDocument/2006/relationships/hyperlink" Target="http://internet.garant.ru/" TargetMode="Externa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yperlink" Target="http://internet.garant.ru/" TargetMode="External"/><Relationship Id="rId27" Type="http://schemas.openxmlformats.org/officeDocument/2006/relationships/hyperlink" Target="http://internet.garant.ru/" TargetMode="External"/><Relationship Id="rId30" Type="http://schemas.openxmlformats.org/officeDocument/2006/relationships/hyperlink" Target="http://internet.garant.ru/" TargetMode="External"/><Relationship Id="rId35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2979</Words>
  <Characters>16983</Characters>
  <Application>Microsoft Office Word</Application>
  <DocSecurity>0</DocSecurity>
  <Lines>141</Lines>
  <Paragraphs>39</Paragraphs>
  <ScaleCrop>false</ScaleCrop>
  <Company/>
  <LinksUpToDate>false</LinksUpToDate>
  <CharactersWithSpaces>19923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Departament</cp:lastModifiedBy>
  <cp:revision>3</cp:revision>
  <dcterms:created xsi:type="dcterms:W3CDTF">2017-12-08T07:50:00Z</dcterms:created>
  <dcterms:modified xsi:type="dcterms:W3CDTF">2022-08-09T07:53:00Z</dcterms:modified>
</cp:coreProperties>
</file>